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48AB7A6D"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FE1421">
        <w:rPr>
          <w:rFonts w:ascii="Calibri" w:hAnsi="Calibri"/>
          <w:color w:val="00558C"/>
          <w:sz w:val="24"/>
          <w:szCs w:val="24"/>
        </w:rPr>
        <w:t>PAP</w:t>
      </w:r>
      <w:r w:rsidR="00CC1C89">
        <w:rPr>
          <w:rFonts w:ascii="Calibri" w:hAnsi="Calibri"/>
          <w:color w:val="00558C"/>
          <w:sz w:val="24"/>
          <w:szCs w:val="24"/>
        </w:rPr>
        <w:t>60-</w:t>
      </w:r>
      <w:r w:rsidR="006E7DE2">
        <w:rPr>
          <w:rFonts w:ascii="Calibri" w:hAnsi="Calibri"/>
          <w:color w:val="00558C"/>
          <w:sz w:val="24"/>
          <w:szCs w:val="24"/>
        </w:rPr>
        <w:t>3.</w:t>
      </w:r>
      <w:r w:rsidR="00FE3A7D">
        <w:rPr>
          <w:rFonts w:ascii="Calibri" w:hAnsi="Calibri"/>
          <w:color w:val="00558C"/>
          <w:sz w:val="24"/>
          <w:szCs w:val="24"/>
        </w:rPr>
        <w:t>4.1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543E1DE0"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1"/>
            <w14:checkedState w14:val="2612" w14:font="MS Gothic"/>
            <w14:uncheckedState w14:val="2610" w14:font="MS Gothic"/>
          </w14:checkbox>
        </w:sdtPr>
        <w:sdtContent>
          <w:r w:rsidR="000400F8">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AE153A">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1B96ED26" w:rsidR="0080294B" w:rsidRPr="00CC1C89" w:rsidRDefault="00000000"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Content>
          <w:r w:rsidR="00A30808" w:rsidRPr="00CC1C89">
            <w:rPr>
              <w:rFonts w:ascii="MS Gothic" w:eastAsia="MS Gothic" w:hAnsi="MS Gothic" w:cs="Arial" w:hint="eastAsia"/>
              <w:b/>
            </w:rPr>
            <w:t>☐</w:t>
          </w:r>
        </w:sdtContent>
      </w:sdt>
      <w:r w:rsidR="0080294B" w:rsidRPr="00CC1C89">
        <w:rPr>
          <w:rFonts w:ascii="Calibri" w:hAnsi="Calibri" w:cs="Arial"/>
        </w:rPr>
        <w:t xml:space="preserve"> </w:t>
      </w:r>
      <w:r w:rsidR="00AE153A" w:rsidRPr="00CC1C89">
        <w:rPr>
          <w:rFonts w:ascii="Calibri" w:hAnsi="Calibri" w:cs="Arial"/>
        </w:rPr>
        <w:t>DTEC</w:t>
      </w:r>
      <w:r w:rsidR="0080294B" w:rsidRPr="00CC1C89">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Content>
          <w:r w:rsidR="00A30808" w:rsidRPr="00CC1C89">
            <w:rPr>
              <w:rFonts w:ascii="MS Gothic" w:eastAsia="MS Gothic" w:hAnsi="MS Gothic" w:cs="Arial" w:hint="eastAsia"/>
              <w:b/>
            </w:rPr>
            <w:t>☐</w:t>
          </w:r>
        </w:sdtContent>
      </w:sdt>
      <w:r w:rsidR="0080294B" w:rsidRPr="00CC1C89">
        <w:rPr>
          <w:rFonts w:ascii="Calibri" w:hAnsi="Calibri" w:cs="Arial"/>
        </w:rPr>
        <w:t xml:space="preserve"> </w:t>
      </w:r>
      <w:r w:rsidR="003D2DC1" w:rsidRPr="00CC1C89">
        <w:rPr>
          <w:rFonts w:ascii="Calibri" w:hAnsi="Calibri" w:cs="Arial"/>
        </w:rPr>
        <w:t>VTS</w:t>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Content>
          <w:r w:rsidR="00AE153A" w:rsidRPr="00CC1C89">
            <w:rPr>
              <w:rFonts w:ascii="MS Gothic" w:eastAsia="MS Gothic" w:hAnsi="MS Gothic" w:cs="Arial" w:hint="eastAsia"/>
              <w:b/>
            </w:rPr>
            <w:t>☐</w:t>
          </w:r>
        </w:sdtContent>
      </w:sdt>
      <w:r w:rsidR="00110203" w:rsidRPr="00CC1C89">
        <w:rPr>
          <w:rFonts w:ascii="Calibri" w:hAnsi="Calibri" w:cs="Arial"/>
        </w:rPr>
        <w:t xml:space="preserve"> </w:t>
      </w:r>
      <w:r w:rsidR="0080294B" w:rsidRPr="00CC1C89">
        <w:rPr>
          <w:rFonts w:ascii="Calibri" w:hAnsi="Calibri" w:cs="Arial"/>
        </w:rPr>
        <w:t>Information</w:t>
      </w:r>
    </w:p>
    <w:p w14:paraId="3E1C02C4" w14:textId="77777777" w:rsidR="0080294B" w:rsidRPr="00CC1C89" w:rsidRDefault="0080294B" w:rsidP="00FE5674">
      <w:pPr>
        <w:pStyle w:val="BodyText"/>
        <w:tabs>
          <w:tab w:val="left" w:pos="2835"/>
        </w:tabs>
        <w:rPr>
          <w:rFonts w:ascii="Calibri" w:hAnsi="Calibri"/>
        </w:rPr>
      </w:pPr>
    </w:p>
    <w:p w14:paraId="4DD25FD9" w14:textId="50181709" w:rsidR="00A446C9" w:rsidRPr="00CC1C89" w:rsidRDefault="00A446C9" w:rsidP="00FE5674">
      <w:pPr>
        <w:pStyle w:val="BodyText"/>
        <w:tabs>
          <w:tab w:val="left" w:pos="2835"/>
        </w:tabs>
        <w:rPr>
          <w:rFonts w:ascii="Calibri" w:hAnsi="Calibri"/>
        </w:rPr>
      </w:pPr>
      <w:r w:rsidRPr="00CC1C89">
        <w:rPr>
          <w:rFonts w:ascii="Calibri" w:hAnsi="Calibri"/>
          <w:b/>
          <w:bCs/>
          <w:color w:val="00558C"/>
          <w:sz w:val="24"/>
          <w:szCs w:val="24"/>
        </w:rPr>
        <w:t>Agenda item</w:t>
      </w:r>
      <w:r w:rsidR="00037DF4" w:rsidRPr="00CC1C89">
        <w:rPr>
          <w:rFonts w:ascii="Calibri" w:hAnsi="Calibri"/>
        </w:rPr>
        <w:t xml:space="preserve"> </w:t>
      </w:r>
      <w:r w:rsidR="00037DF4" w:rsidRPr="007A395D">
        <w:rPr>
          <w:rStyle w:val="FootnoteReference"/>
          <w:rFonts w:ascii="Calibri" w:hAnsi="Calibri"/>
          <w:sz w:val="22"/>
        </w:rPr>
        <w:footnoteReference w:id="2"/>
      </w:r>
      <w:r w:rsidR="001C44A3" w:rsidRPr="00CC1C89">
        <w:rPr>
          <w:rFonts w:ascii="Calibri" w:hAnsi="Calibri"/>
        </w:rPr>
        <w:tab/>
      </w:r>
      <w:r w:rsidR="0080294B" w:rsidRPr="00CC1C89">
        <w:rPr>
          <w:rFonts w:ascii="Calibri" w:hAnsi="Calibri"/>
        </w:rPr>
        <w:tab/>
      </w:r>
      <w:r w:rsidR="0080294B" w:rsidRPr="00CC1C89">
        <w:rPr>
          <w:rFonts w:ascii="Calibri" w:hAnsi="Calibri"/>
        </w:rPr>
        <w:tab/>
      </w:r>
      <w:r w:rsidR="00FD26C2" w:rsidRPr="00CC1C89">
        <w:rPr>
          <w:rFonts w:ascii="Calibri" w:hAnsi="Calibri"/>
        </w:rPr>
        <w:t>3.</w:t>
      </w:r>
      <w:r w:rsidR="00FE3A7D">
        <w:rPr>
          <w:rFonts w:ascii="Calibri" w:hAnsi="Calibri"/>
        </w:rPr>
        <w:t>4</w:t>
      </w:r>
    </w:p>
    <w:p w14:paraId="60BCC120" w14:textId="3DF59029" w:rsidR="0080294B" w:rsidRPr="007F66B6" w:rsidRDefault="00362CD9" w:rsidP="007F66B6">
      <w:pPr>
        <w:pStyle w:val="BodyText"/>
        <w:tabs>
          <w:tab w:val="left" w:pos="2835"/>
        </w:tabs>
        <w:ind w:left="3600" w:hanging="3600"/>
        <w:jc w:val="left"/>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6E7DE2">
        <w:rPr>
          <w:rFonts w:ascii="Calibri" w:hAnsi="Calibri"/>
        </w:rPr>
        <w:t>Secretariat</w:t>
      </w:r>
    </w:p>
    <w:p w14:paraId="4834080C" w14:textId="4AB2A8CB" w:rsidR="00A446C9" w:rsidRPr="00605E43" w:rsidRDefault="00A70676" w:rsidP="0035243F">
      <w:pPr>
        <w:pStyle w:val="Title"/>
      </w:pPr>
      <w:r w:rsidRPr="00A70676">
        <w:t>3.4</w:t>
      </w:r>
      <w:r w:rsidRPr="00A70676">
        <w:tab/>
        <w:t>General Regulations related to committees</w:t>
      </w:r>
    </w:p>
    <w:p w14:paraId="2CC2DB54" w14:textId="1EE89636" w:rsidR="009874F9" w:rsidRPr="009874F9" w:rsidRDefault="00A446C9" w:rsidP="009874F9">
      <w:pPr>
        <w:pStyle w:val="Heading1"/>
      </w:pPr>
      <w:r w:rsidRPr="00B661C7">
        <w:t>Summary</w:t>
      </w:r>
    </w:p>
    <w:p w14:paraId="5432CFB6" w14:textId="5CB28B46" w:rsidR="00B56BDF" w:rsidRPr="007A395D" w:rsidRDefault="00886AF9" w:rsidP="00B56BDF">
      <w:pPr>
        <w:pStyle w:val="BodyText"/>
        <w:rPr>
          <w:rFonts w:ascii="Calibri" w:hAnsi="Calibri"/>
        </w:rPr>
      </w:pPr>
      <w:r w:rsidRPr="00886AF9">
        <w:rPr>
          <w:rFonts w:ascii="Calibri" w:hAnsi="Calibri"/>
        </w:rPr>
        <w:t>This paper introduces the</w:t>
      </w:r>
      <w:r>
        <w:rPr>
          <w:rFonts w:ascii="Calibri" w:hAnsi="Calibri"/>
        </w:rPr>
        <w:t xml:space="preserve"> opportunity to</w:t>
      </w:r>
      <w:r w:rsidRPr="00886AF9">
        <w:rPr>
          <w:rFonts w:ascii="Calibri" w:hAnsi="Calibri"/>
        </w:rPr>
        <w:t xml:space="preserve"> review Articles 10</w:t>
      </w:r>
      <w:r>
        <w:rPr>
          <w:rFonts w:ascii="Calibri" w:hAnsi="Calibri"/>
        </w:rPr>
        <w:t xml:space="preserve"> </w:t>
      </w:r>
      <w:r w:rsidRPr="00886AF9">
        <w:rPr>
          <w:rFonts w:ascii="Calibri" w:hAnsi="Calibri"/>
        </w:rPr>
        <w:t>–</w:t>
      </w:r>
      <w:r>
        <w:rPr>
          <w:rFonts w:ascii="Calibri" w:hAnsi="Calibri"/>
        </w:rPr>
        <w:t xml:space="preserve"> </w:t>
      </w:r>
      <w:r w:rsidRPr="00886AF9">
        <w:rPr>
          <w:rFonts w:ascii="Calibri" w:hAnsi="Calibri"/>
        </w:rPr>
        <w:t>12 of the General Regulations, which govern the operation of Committees and Subsidiary Bodies under the intergovernmental framework established in 2025. The review may identify areas where refinement would support continued effective operation</w:t>
      </w:r>
      <w:r w:rsidR="00BE4121">
        <w:rPr>
          <w:rFonts w:ascii="Calibri" w:hAnsi="Calibri"/>
        </w:rPr>
        <w:t>s</w:t>
      </w:r>
      <w:r w:rsidRPr="00886AF9">
        <w:rPr>
          <w:rFonts w:ascii="Calibri" w:hAnsi="Calibri"/>
        </w:rPr>
        <w:t xml:space="preserve"> </w:t>
      </w:r>
      <w:r w:rsidR="00BE4121">
        <w:rPr>
          <w:rFonts w:ascii="Calibri" w:hAnsi="Calibri"/>
        </w:rPr>
        <w:t xml:space="preserve">in the form of </w:t>
      </w:r>
      <w:r w:rsidRPr="00886AF9">
        <w:rPr>
          <w:rFonts w:ascii="Calibri" w:hAnsi="Calibri"/>
        </w:rPr>
        <w:t>propos</w:t>
      </w:r>
      <w:r w:rsidR="00BE4121">
        <w:rPr>
          <w:rFonts w:ascii="Calibri" w:hAnsi="Calibri"/>
        </w:rPr>
        <w:t xml:space="preserve">ed </w:t>
      </w:r>
      <w:r w:rsidR="009E1455">
        <w:rPr>
          <w:rFonts w:ascii="Calibri" w:hAnsi="Calibri"/>
        </w:rPr>
        <w:t>amendments</w:t>
      </w:r>
      <w:r w:rsidRPr="00886AF9">
        <w:rPr>
          <w:rFonts w:ascii="Calibri" w:hAnsi="Calibri"/>
        </w:rPr>
        <w:t xml:space="preserve"> to the General Assembly in 2027.</w:t>
      </w:r>
    </w:p>
    <w:p w14:paraId="3C575A26" w14:textId="6CFA0A6A" w:rsidR="001C44A3" w:rsidRPr="00605E43" w:rsidRDefault="00BD4E6F" w:rsidP="00605E43">
      <w:pPr>
        <w:pStyle w:val="Heading2"/>
      </w:pPr>
      <w:r w:rsidRPr="00605E43">
        <w:t>Purpose</w:t>
      </w:r>
      <w:r w:rsidR="004D1D85" w:rsidRPr="00605E43">
        <w:t xml:space="preserve"> of the document</w:t>
      </w:r>
      <w:r w:rsidR="009874F9">
        <w:t xml:space="preserve"> </w:t>
      </w:r>
    </w:p>
    <w:p w14:paraId="7E2A4642" w14:textId="3D45B8F5" w:rsidR="00E55927" w:rsidRPr="000B59D7" w:rsidRDefault="000B59D7" w:rsidP="000B59D7">
      <w:pPr>
        <w:pStyle w:val="BodyText"/>
        <w:rPr>
          <w:lang w:eastAsia="en-GB"/>
        </w:rPr>
      </w:pPr>
      <w:r w:rsidRPr="000B59D7">
        <w:rPr>
          <w:lang w:eastAsia="en-GB"/>
        </w:rPr>
        <w:t>The purpose of this document is to invite the PAP to examine Articles 10–12 of the General Regulations and provide feedback based on experience gained during recent committee sessions. The document sets out the context for this review, presents the relevant extracts in Annex A and outlines the process for developing any proposed amendments that may be brought forward for consideration at PAP61.</w:t>
      </w:r>
    </w:p>
    <w:p w14:paraId="36D645BE" w14:textId="77777777" w:rsidR="00B56BDF" w:rsidRPr="007A395D" w:rsidRDefault="00B56BDF" w:rsidP="00605E43">
      <w:pPr>
        <w:pStyle w:val="Heading2"/>
      </w:pPr>
      <w:r w:rsidRPr="007A395D">
        <w:t>Related documents</w:t>
      </w:r>
    </w:p>
    <w:p w14:paraId="31AE41A3" w14:textId="79EE010E" w:rsidR="00E165C4" w:rsidRPr="0035243F" w:rsidRDefault="009136E9" w:rsidP="00E55927">
      <w:pPr>
        <w:pStyle w:val="BodyText"/>
        <w:rPr>
          <w:rFonts w:ascii="Calibri" w:hAnsi="Calibri"/>
        </w:rPr>
      </w:pPr>
      <w:r>
        <w:rPr>
          <w:rFonts w:ascii="Calibri" w:hAnsi="Calibri"/>
        </w:rPr>
        <w:t xml:space="preserve">IALA </w:t>
      </w:r>
      <w:r w:rsidR="008149AF" w:rsidRPr="008149AF">
        <w:rPr>
          <w:rFonts w:ascii="Calibri" w:hAnsi="Calibri"/>
        </w:rPr>
        <w:t>General</w:t>
      </w:r>
      <w:r>
        <w:rPr>
          <w:rFonts w:ascii="Calibri" w:hAnsi="Calibri"/>
        </w:rPr>
        <w:t xml:space="preserve"> and </w:t>
      </w:r>
      <w:r w:rsidR="008149AF" w:rsidRPr="008149AF">
        <w:rPr>
          <w:rFonts w:ascii="Calibri" w:hAnsi="Calibri"/>
        </w:rPr>
        <w:t>financial</w:t>
      </w:r>
      <w:r>
        <w:rPr>
          <w:rFonts w:ascii="Calibri" w:hAnsi="Calibri"/>
        </w:rPr>
        <w:t xml:space="preserve"> </w:t>
      </w:r>
      <w:r w:rsidR="008149AF" w:rsidRPr="008149AF">
        <w:rPr>
          <w:rFonts w:ascii="Calibri" w:hAnsi="Calibri"/>
        </w:rPr>
        <w:t xml:space="preserve">regulations </w:t>
      </w:r>
    </w:p>
    <w:p w14:paraId="53733F03" w14:textId="77777777" w:rsidR="00A446C9" w:rsidRPr="007A395D" w:rsidRDefault="00A446C9" w:rsidP="00605E43">
      <w:pPr>
        <w:pStyle w:val="Heading1"/>
      </w:pPr>
      <w:r w:rsidRPr="007A395D">
        <w:t>Background</w:t>
      </w:r>
    </w:p>
    <w:p w14:paraId="07452EBC" w14:textId="4397D004" w:rsidR="00A446C9" w:rsidRPr="00FD6EE7" w:rsidRDefault="00526081" w:rsidP="00FD6EE7">
      <w:pPr>
        <w:pStyle w:val="BodyText"/>
        <w:rPr>
          <w:lang w:eastAsia="en-GB"/>
        </w:rPr>
      </w:pPr>
      <w:r w:rsidRPr="00526081">
        <w:rPr>
          <w:lang w:eastAsia="en-GB"/>
        </w:rPr>
        <w:t>Articles 10</w:t>
      </w:r>
      <w:r w:rsidR="00FD6EE7">
        <w:rPr>
          <w:lang w:eastAsia="en-GB"/>
        </w:rPr>
        <w:t xml:space="preserve"> </w:t>
      </w:r>
      <w:r w:rsidRPr="00526081">
        <w:rPr>
          <w:lang w:eastAsia="en-GB"/>
        </w:rPr>
        <w:t>–</w:t>
      </w:r>
      <w:r w:rsidR="00FD6EE7">
        <w:rPr>
          <w:lang w:eastAsia="en-GB"/>
        </w:rPr>
        <w:t xml:space="preserve"> </w:t>
      </w:r>
      <w:r w:rsidRPr="00526081">
        <w:rPr>
          <w:lang w:eastAsia="en-GB"/>
        </w:rPr>
        <w:t xml:space="preserve">12 of the General Regulations set out the rules governing the operation of Committees and Subsidiary Bodies under the </w:t>
      </w:r>
      <w:r w:rsidR="00FD6EE7">
        <w:rPr>
          <w:lang w:eastAsia="en-GB"/>
        </w:rPr>
        <w:t>IGO</w:t>
      </w:r>
      <w:r w:rsidRPr="00526081">
        <w:rPr>
          <w:lang w:eastAsia="en-GB"/>
        </w:rPr>
        <w:t xml:space="preserve"> framework adopted in 2025. These provisions have guided</w:t>
      </w:r>
      <w:r w:rsidR="00FD6EE7">
        <w:rPr>
          <w:lang w:eastAsia="en-GB"/>
        </w:rPr>
        <w:t xml:space="preserve"> matters such as</w:t>
      </w:r>
      <w:r w:rsidRPr="00526081">
        <w:rPr>
          <w:lang w:eastAsia="en-GB"/>
        </w:rPr>
        <w:t xml:space="preserve"> participation, appointment procedures and working methods throughout committee activity. </w:t>
      </w:r>
    </w:p>
    <w:p w14:paraId="041E9135" w14:textId="77777777" w:rsidR="00A446C9" w:rsidRPr="007A395D" w:rsidRDefault="00A446C9" w:rsidP="00605E43">
      <w:pPr>
        <w:pStyle w:val="Heading1"/>
      </w:pPr>
      <w:r w:rsidRPr="007A395D">
        <w:t>Discussion</w:t>
      </w:r>
    </w:p>
    <w:p w14:paraId="404321AF" w14:textId="3D6B7ED3" w:rsidR="00265AA2" w:rsidRPr="00265AA2" w:rsidRDefault="00265AA2" w:rsidP="00265AA2">
      <w:pPr>
        <w:pStyle w:val="BodyText"/>
        <w:rPr>
          <w:lang w:eastAsia="en-GB"/>
        </w:rPr>
      </w:pPr>
      <w:r w:rsidRPr="00265AA2">
        <w:rPr>
          <w:lang w:eastAsia="en-GB"/>
        </w:rPr>
        <w:t xml:space="preserve">With one full cycle of committee activity completed under the </w:t>
      </w:r>
      <w:r w:rsidR="000E3779">
        <w:rPr>
          <w:lang w:eastAsia="en-GB"/>
        </w:rPr>
        <w:t>IGO</w:t>
      </w:r>
      <w:r w:rsidRPr="00265AA2">
        <w:rPr>
          <w:lang w:eastAsia="en-GB"/>
        </w:rPr>
        <w:t xml:space="preserve"> framework, it is timely to review whether Articles 10</w:t>
      </w:r>
      <w:r w:rsidR="000E3779">
        <w:rPr>
          <w:lang w:eastAsia="en-GB"/>
        </w:rPr>
        <w:t xml:space="preserve"> </w:t>
      </w:r>
      <w:r w:rsidRPr="00265AA2">
        <w:rPr>
          <w:lang w:eastAsia="en-GB"/>
        </w:rPr>
        <w:t>–</w:t>
      </w:r>
      <w:r w:rsidR="000E3779">
        <w:rPr>
          <w:lang w:eastAsia="en-GB"/>
        </w:rPr>
        <w:t xml:space="preserve"> </w:t>
      </w:r>
      <w:r w:rsidRPr="00265AA2">
        <w:rPr>
          <w:lang w:eastAsia="en-GB"/>
        </w:rPr>
        <w:t xml:space="preserve">12 of the General Regulations remain effective and appropriate from the perspective of the </w:t>
      </w:r>
      <w:r w:rsidR="001C04F9">
        <w:rPr>
          <w:lang w:eastAsia="en-GB"/>
        </w:rPr>
        <w:t>committees and subsidiary</w:t>
      </w:r>
      <w:r w:rsidRPr="00265AA2">
        <w:rPr>
          <w:lang w:eastAsia="en-GB"/>
        </w:rPr>
        <w:t xml:space="preserve"> bodies.</w:t>
      </w:r>
      <w:r w:rsidR="00620EFB">
        <w:rPr>
          <w:lang w:eastAsia="en-GB"/>
        </w:rPr>
        <w:t xml:space="preserve"> </w:t>
      </w:r>
      <w:r w:rsidRPr="00265AA2">
        <w:rPr>
          <w:lang w:eastAsia="en-GB"/>
        </w:rPr>
        <w:t>They have now been applied in practice across several committee sessions, giving members sufficient experience to identify any areas where clarification or adjustment may be beneficial.</w:t>
      </w:r>
    </w:p>
    <w:p w14:paraId="69E1B0C7" w14:textId="6F4B09DE" w:rsidR="00265AA2" w:rsidRPr="00265AA2" w:rsidRDefault="00265AA2" w:rsidP="00265AA2">
      <w:pPr>
        <w:pStyle w:val="BodyText"/>
        <w:rPr>
          <w:lang w:eastAsia="en-GB"/>
        </w:rPr>
      </w:pPr>
      <w:r w:rsidRPr="00265AA2">
        <w:rPr>
          <w:lang w:eastAsia="en-GB"/>
        </w:rPr>
        <w:t>To support this review, the relevant text of Articles 10</w:t>
      </w:r>
      <w:r>
        <w:rPr>
          <w:lang w:eastAsia="en-GB"/>
        </w:rPr>
        <w:t xml:space="preserve"> </w:t>
      </w:r>
      <w:r w:rsidRPr="00265AA2">
        <w:rPr>
          <w:lang w:eastAsia="en-GB"/>
        </w:rPr>
        <w:t>–</w:t>
      </w:r>
      <w:r>
        <w:rPr>
          <w:lang w:eastAsia="en-GB"/>
        </w:rPr>
        <w:t xml:space="preserve"> </w:t>
      </w:r>
      <w:r w:rsidRPr="00265AA2">
        <w:rPr>
          <w:lang w:eastAsia="en-GB"/>
        </w:rPr>
        <w:t xml:space="preserve">12 </w:t>
      </w:r>
      <w:r w:rsidR="003A6DDF">
        <w:rPr>
          <w:lang w:eastAsia="en-GB"/>
        </w:rPr>
        <w:t>can be found in Annex A.</w:t>
      </w:r>
    </w:p>
    <w:p w14:paraId="1247BDB4" w14:textId="0373764B" w:rsidR="00265AA2" w:rsidRPr="00265AA2" w:rsidRDefault="00265AA2" w:rsidP="00265AA2">
      <w:pPr>
        <w:pStyle w:val="BodyText"/>
        <w:rPr>
          <w:lang w:eastAsia="en-GB"/>
        </w:rPr>
      </w:pPr>
      <w:r w:rsidRPr="00265AA2">
        <w:rPr>
          <w:lang w:eastAsia="en-GB"/>
        </w:rPr>
        <w:lastRenderedPageBreak/>
        <w:t xml:space="preserve">Initial observations suggest that the framework has provided clear structure and consistency, but practical experience may highlight opportunities for improvement. </w:t>
      </w:r>
    </w:p>
    <w:p w14:paraId="6CE3C6CD" w14:textId="21089494" w:rsidR="00D25056" w:rsidRPr="00265AA2" w:rsidRDefault="00265AA2" w:rsidP="00265AA2">
      <w:pPr>
        <w:pStyle w:val="BodyText"/>
        <w:rPr>
          <w:lang w:eastAsia="en-GB"/>
        </w:rPr>
      </w:pPr>
      <w:r w:rsidRPr="00265AA2">
        <w:rPr>
          <w:lang w:eastAsia="en-GB"/>
        </w:rPr>
        <w:t xml:space="preserve">The objective of this review is not to change the underlying governance but to ensure that the articles continue to support efficient and effective operations. Should the PAP identify areas where revision is appropriate, a draft paper setting out proposed amendments </w:t>
      </w:r>
      <w:r w:rsidR="00747B06">
        <w:rPr>
          <w:lang w:eastAsia="en-GB"/>
        </w:rPr>
        <w:t>may</w:t>
      </w:r>
      <w:r w:rsidRPr="00265AA2">
        <w:rPr>
          <w:lang w:eastAsia="en-GB"/>
        </w:rPr>
        <w:t xml:space="preserve"> be prepared for consideration at PAP61.</w:t>
      </w:r>
      <w:r w:rsidR="00D25056" w:rsidRPr="00D25056">
        <w:t xml:space="preserve"> </w:t>
      </w:r>
    </w:p>
    <w:p w14:paraId="7A8D2F27" w14:textId="77777777" w:rsidR="00A446C9" w:rsidRPr="007A395D" w:rsidRDefault="00A446C9" w:rsidP="00605E43">
      <w:pPr>
        <w:pStyle w:val="Heading1"/>
      </w:pPr>
      <w:r w:rsidRPr="007A395D">
        <w:t>Action requested of the Committee</w:t>
      </w:r>
    </w:p>
    <w:p w14:paraId="2BD57E25" w14:textId="537D4F97" w:rsidR="00E66D36" w:rsidRPr="00E66D36" w:rsidRDefault="00E66D36" w:rsidP="00E66D36">
      <w:pPr>
        <w:pStyle w:val="BodyText"/>
        <w:rPr>
          <w:rFonts w:ascii="Calibri" w:hAnsi="Calibri"/>
        </w:rPr>
      </w:pPr>
      <w:r w:rsidRPr="00E66D36">
        <w:rPr>
          <w:rFonts w:ascii="Calibri" w:hAnsi="Calibri"/>
        </w:rPr>
        <w:t>The PAP</w:t>
      </w:r>
      <w:r w:rsidR="00372CAF">
        <w:rPr>
          <w:rFonts w:ascii="Calibri" w:hAnsi="Calibri"/>
        </w:rPr>
        <w:t xml:space="preserve"> </w:t>
      </w:r>
      <w:r w:rsidRPr="00E66D36">
        <w:rPr>
          <w:rFonts w:ascii="Calibri" w:hAnsi="Calibri"/>
        </w:rPr>
        <w:t>are requested to:</w:t>
      </w:r>
    </w:p>
    <w:p w14:paraId="16AE6650" w14:textId="6DCF3B12" w:rsidR="004D1D85" w:rsidRDefault="00E66D36" w:rsidP="0036544C">
      <w:pPr>
        <w:pStyle w:val="BodyText"/>
        <w:numPr>
          <w:ilvl w:val="0"/>
          <w:numId w:val="74"/>
        </w:numPr>
        <w:rPr>
          <w:rFonts w:ascii="Calibri" w:hAnsi="Calibri"/>
        </w:rPr>
      </w:pPr>
      <w:r>
        <w:rPr>
          <w:rFonts w:ascii="Calibri" w:hAnsi="Calibri"/>
        </w:rPr>
        <w:t>N</w:t>
      </w:r>
      <w:r w:rsidRPr="00E66D36">
        <w:rPr>
          <w:rFonts w:ascii="Calibri" w:hAnsi="Calibri"/>
        </w:rPr>
        <w:t>ote</w:t>
      </w:r>
      <w:r w:rsidR="00372CAF">
        <w:rPr>
          <w:rFonts w:ascii="Calibri" w:hAnsi="Calibri"/>
        </w:rPr>
        <w:t xml:space="preserve"> the </w:t>
      </w:r>
      <w:r w:rsidR="00120EF2">
        <w:rPr>
          <w:rFonts w:ascii="Calibri" w:hAnsi="Calibri"/>
        </w:rPr>
        <w:t>relevant articles of the General Regulations and provide feedback as necessary</w:t>
      </w:r>
      <w:r w:rsidR="00F71F4D">
        <w:rPr>
          <w:rFonts w:ascii="Calibri" w:hAnsi="Calibri"/>
        </w:rPr>
        <w:t>.</w:t>
      </w:r>
    </w:p>
    <w:p w14:paraId="77781511" w14:textId="77777777" w:rsidR="003A6DDF" w:rsidRDefault="003A6DDF" w:rsidP="003A6DDF">
      <w:pPr>
        <w:pStyle w:val="BodyText"/>
        <w:rPr>
          <w:rFonts w:ascii="Calibri" w:hAnsi="Calibri"/>
        </w:rPr>
      </w:pPr>
    </w:p>
    <w:p w14:paraId="27BFCD09" w14:textId="77777777" w:rsidR="00EA7546" w:rsidRDefault="00EA7546" w:rsidP="003A6DDF">
      <w:pPr>
        <w:pStyle w:val="BodyText"/>
        <w:rPr>
          <w:rFonts w:ascii="Calibri" w:hAnsi="Calibri"/>
        </w:rPr>
      </w:pPr>
    </w:p>
    <w:p w14:paraId="6902DA5D" w14:textId="77777777" w:rsidR="00EA7546" w:rsidRDefault="00EA7546" w:rsidP="003A6DDF">
      <w:pPr>
        <w:pStyle w:val="BodyText"/>
        <w:rPr>
          <w:rFonts w:ascii="Calibri" w:hAnsi="Calibri"/>
        </w:rPr>
      </w:pPr>
    </w:p>
    <w:p w14:paraId="37ACC9D4" w14:textId="77777777" w:rsidR="00097B81" w:rsidRDefault="00097B81">
      <w:pPr>
        <w:spacing w:line="240" w:lineRule="auto"/>
        <w:rPr>
          <w:b/>
          <w:caps/>
          <w:color w:val="00558C"/>
          <w:sz w:val="28"/>
        </w:rPr>
      </w:pPr>
      <w:r>
        <w:br w:type="page"/>
      </w:r>
    </w:p>
    <w:p w14:paraId="5C6A7400" w14:textId="458C6FE0" w:rsidR="00EA7546" w:rsidRDefault="0048508E" w:rsidP="004267E0">
      <w:pPr>
        <w:pStyle w:val="Annex"/>
      </w:pPr>
      <w:r>
        <w:lastRenderedPageBreak/>
        <w:t>Relevant articles of the General Regulations</w:t>
      </w:r>
    </w:p>
    <w:p w14:paraId="1E81201F" w14:textId="77777777" w:rsidR="00A452E9" w:rsidRDefault="00A452E9" w:rsidP="00A452E9">
      <w:pPr>
        <w:jc w:val="center"/>
        <w:rPr>
          <w:b/>
          <w:bCs/>
          <w:sz w:val="28"/>
          <w:szCs w:val="28"/>
        </w:rPr>
      </w:pPr>
      <w:r>
        <w:rPr>
          <w:b/>
          <w:bCs/>
          <w:sz w:val="28"/>
          <w:szCs w:val="28"/>
        </w:rPr>
        <w:t>Article 10</w:t>
      </w:r>
    </w:p>
    <w:p w14:paraId="5ABA0194" w14:textId="77777777" w:rsidR="00A452E9" w:rsidRDefault="00A452E9" w:rsidP="00A452E9">
      <w:pPr>
        <w:jc w:val="center"/>
        <w:rPr>
          <w:b/>
          <w:bCs/>
          <w:sz w:val="28"/>
          <w:szCs w:val="28"/>
        </w:rPr>
      </w:pPr>
      <w:r w:rsidRPr="00F12C68">
        <w:rPr>
          <w:b/>
          <w:bCs/>
          <w:sz w:val="28"/>
          <w:szCs w:val="28"/>
        </w:rPr>
        <w:t>Committees and Subsidiary Bodies</w:t>
      </w:r>
    </w:p>
    <w:p w14:paraId="7892C494" w14:textId="77777777" w:rsidR="00A452E9" w:rsidRPr="00F12C68" w:rsidRDefault="00A452E9" w:rsidP="00A452E9">
      <w:pPr>
        <w:jc w:val="center"/>
        <w:rPr>
          <w:b/>
          <w:bCs/>
          <w:sz w:val="28"/>
          <w:szCs w:val="28"/>
        </w:rPr>
      </w:pPr>
    </w:p>
    <w:p w14:paraId="2CDB6D13" w14:textId="77777777" w:rsidR="00A452E9" w:rsidRPr="00A452E9" w:rsidRDefault="00A452E9" w:rsidP="00A452E9">
      <w:pPr>
        <w:rPr>
          <w:b/>
          <w:bCs/>
          <w:sz w:val="22"/>
        </w:rPr>
      </w:pPr>
      <w:r w:rsidRPr="00A452E9">
        <w:rPr>
          <w:b/>
          <w:bCs/>
          <w:sz w:val="22"/>
        </w:rPr>
        <w:t>Participation in Committees and Subsidiary Bodies</w:t>
      </w:r>
    </w:p>
    <w:p w14:paraId="78F4315D" w14:textId="77777777" w:rsidR="00A452E9" w:rsidRPr="00A452E9" w:rsidRDefault="00A452E9" w:rsidP="00A452E9">
      <w:pPr>
        <w:pStyle w:val="BodyText"/>
        <w:rPr>
          <w:b/>
          <w:bCs/>
        </w:rPr>
      </w:pPr>
      <w:r w:rsidRPr="00A452E9">
        <w:rPr>
          <w:bCs/>
        </w:rPr>
        <w:t>10.1</w:t>
      </w:r>
      <w:r w:rsidRPr="00A452E9">
        <w:rPr>
          <w:bCs/>
        </w:rPr>
        <w:tab/>
      </w:r>
      <w:r w:rsidRPr="00A452E9">
        <w:t>Member States, Associate Members and Affiliate Members and representatives of relevant international organization are eligible to participate in the Committees.</w:t>
      </w:r>
    </w:p>
    <w:p w14:paraId="4B16B738" w14:textId="77777777" w:rsidR="00A452E9" w:rsidRPr="00A452E9" w:rsidRDefault="00A452E9" w:rsidP="00A452E9">
      <w:pPr>
        <w:pStyle w:val="BodyText"/>
        <w:rPr>
          <w:b/>
          <w:bCs/>
        </w:rPr>
      </w:pPr>
      <w:r w:rsidRPr="00A452E9">
        <w:rPr>
          <w:bCs/>
        </w:rPr>
        <w:t>10.2</w:t>
      </w:r>
      <w:r w:rsidRPr="00A452E9">
        <w:rPr>
          <w:bCs/>
        </w:rPr>
        <w:tab/>
      </w:r>
      <w:r w:rsidRPr="00A452E9">
        <w:t>The General Assembly will determine participation in subsidiary bodies as part of the development of the Terms of Reference for those subsidiary bodies.</w:t>
      </w:r>
    </w:p>
    <w:p w14:paraId="417FB1B1" w14:textId="77777777" w:rsidR="00A452E9" w:rsidRPr="00A452E9" w:rsidRDefault="00A452E9" w:rsidP="00A452E9">
      <w:pPr>
        <w:rPr>
          <w:b/>
          <w:bCs/>
          <w:sz w:val="22"/>
        </w:rPr>
      </w:pPr>
      <w:r w:rsidRPr="00A452E9">
        <w:rPr>
          <w:b/>
          <w:bCs/>
          <w:sz w:val="22"/>
        </w:rPr>
        <w:t>Appointment of Chair and Vice Chair</w:t>
      </w:r>
    </w:p>
    <w:p w14:paraId="5AD09EAD" w14:textId="77777777" w:rsidR="00A452E9" w:rsidRPr="00A452E9" w:rsidRDefault="00A452E9" w:rsidP="00A452E9">
      <w:pPr>
        <w:rPr>
          <w:b/>
          <w:bCs/>
          <w:sz w:val="22"/>
        </w:rPr>
      </w:pPr>
      <w:r w:rsidRPr="00A452E9">
        <w:rPr>
          <w:bCs/>
          <w:sz w:val="22"/>
        </w:rPr>
        <w:t>10.3</w:t>
      </w:r>
      <w:r w:rsidRPr="00A452E9">
        <w:rPr>
          <w:bCs/>
          <w:sz w:val="22"/>
        </w:rPr>
        <w:tab/>
      </w:r>
      <w:r w:rsidRPr="00A452E9">
        <w:rPr>
          <w:sz w:val="22"/>
        </w:rPr>
        <w:t>Each Committee and subsidiary body shall have a Chair and Vice Chair appointed by the Council for a period of three years in between regular sessions of the General Assembly. The term for Chairs and Vice Chairs shall not exceed two consecutive periods of three years unless the Council approves the extension of the term.</w:t>
      </w:r>
    </w:p>
    <w:p w14:paraId="106448B7" w14:textId="77777777" w:rsidR="00A452E9" w:rsidRPr="00A452E9" w:rsidRDefault="00A452E9" w:rsidP="00A452E9">
      <w:pPr>
        <w:rPr>
          <w:b/>
          <w:bCs/>
          <w:sz w:val="22"/>
        </w:rPr>
      </w:pPr>
      <w:r w:rsidRPr="00A452E9">
        <w:rPr>
          <w:bCs/>
          <w:sz w:val="22"/>
        </w:rPr>
        <w:t>10.4</w:t>
      </w:r>
      <w:r w:rsidRPr="00A452E9">
        <w:rPr>
          <w:bCs/>
          <w:sz w:val="22"/>
        </w:rPr>
        <w:tab/>
      </w:r>
      <w:r w:rsidRPr="00A452E9">
        <w:rPr>
          <w:sz w:val="22"/>
        </w:rPr>
        <w:t>Nominations for these positions may be made by Member States or the Secretary‐General from amongst nationals of the Member States. When a vacancy arises, the Secretariat will inform Member States of the vacancy and seek nominations. The Secretariat will inform the Council of all nominations and the Council will appoint the Chairs and Vice Chairs.</w:t>
      </w:r>
    </w:p>
    <w:p w14:paraId="72463D3D" w14:textId="77777777" w:rsidR="00A452E9" w:rsidRPr="00A452E9" w:rsidRDefault="00A452E9" w:rsidP="00A452E9">
      <w:pPr>
        <w:rPr>
          <w:b/>
          <w:bCs/>
          <w:sz w:val="22"/>
        </w:rPr>
      </w:pPr>
      <w:r w:rsidRPr="00A452E9">
        <w:rPr>
          <w:bCs/>
          <w:sz w:val="22"/>
        </w:rPr>
        <w:t>10.5</w:t>
      </w:r>
      <w:r w:rsidRPr="00A452E9">
        <w:rPr>
          <w:bCs/>
          <w:sz w:val="22"/>
        </w:rPr>
        <w:tab/>
      </w:r>
      <w:r w:rsidRPr="00A452E9">
        <w:rPr>
          <w:sz w:val="22"/>
        </w:rPr>
        <w:t>Termination of the appointment of Chairs and Vice Chairs of Committees and subsidiary bodies may be made for any justifiable cause by the Council on the advice of the Secretary-General.</w:t>
      </w:r>
    </w:p>
    <w:p w14:paraId="0BA8462C" w14:textId="77777777" w:rsidR="00A452E9" w:rsidRPr="00A452E9" w:rsidRDefault="00A452E9" w:rsidP="00A452E9">
      <w:pPr>
        <w:rPr>
          <w:sz w:val="22"/>
        </w:rPr>
      </w:pPr>
      <w:r w:rsidRPr="00A452E9">
        <w:rPr>
          <w:bCs/>
          <w:sz w:val="22"/>
        </w:rPr>
        <w:t>10.6</w:t>
      </w:r>
      <w:r w:rsidRPr="00A452E9">
        <w:rPr>
          <w:bCs/>
          <w:sz w:val="22"/>
        </w:rPr>
        <w:tab/>
      </w:r>
      <w:r w:rsidRPr="00A452E9">
        <w:rPr>
          <w:sz w:val="22"/>
        </w:rPr>
        <w:t>Chairs and Vice Chairs of working groups in accordance with Article 11.10 shall normally be provided by Member States. However, where appropriate, they may be drawn from Associate Members and Affiliate Members or relevant international organizations. The appointment of the working group Chair and Vice Chair are at the discretion of the Committee Chair.</w:t>
      </w:r>
    </w:p>
    <w:p w14:paraId="5198C6F2" w14:textId="77777777" w:rsidR="00A452E9" w:rsidRPr="00BA2DBB" w:rsidRDefault="00A452E9" w:rsidP="00A452E9">
      <w:pPr>
        <w:rPr>
          <w:b/>
          <w:bCs/>
        </w:rPr>
      </w:pPr>
    </w:p>
    <w:p w14:paraId="6D151E42" w14:textId="77777777" w:rsidR="00A452E9" w:rsidRDefault="00A452E9" w:rsidP="00A452E9">
      <w:pPr>
        <w:jc w:val="center"/>
        <w:rPr>
          <w:b/>
          <w:bCs/>
          <w:sz w:val="28"/>
          <w:szCs w:val="28"/>
        </w:rPr>
      </w:pPr>
      <w:r w:rsidRPr="001D38E0">
        <w:rPr>
          <w:b/>
          <w:bCs/>
          <w:sz w:val="28"/>
          <w:szCs w:val="28"/>
        </w:rPr>
        <w:t>Article 1</w:t>
      </w:r>
      <w:r>
        <w:rPr>
          <w:b/>
          <w:bCs/>
          <w:sz w:val="28"/>
          <w:szCs w:val="28"/>
        </w:rPr>
        <w:t>1</w:t>
      </w:r>
    </w:p>
    <w:p w14:paraId="5E36BCD7" w14:textId="77777777" w:rsidR="00A452E9" w:rsidRPr="001D38E0" w:rsidRDefault="00A452E9" w:rsidP="00A452E9">
      <w:pPr>
        <w:jc w:val="center"/>
        <w:rPr>
          <w:b/>
          <w:bCs/>
          <w:sz w:val="28"/>
          <w:szCs w:val="28"/>
        </w:rPr>
      </w:pPr>
      <w:r w:rsidRPr="001D38E0">
        <w:rPr>
          <w:b/>
          <w:bCs/>
          <w:sz w:val="28"/>
          <w:szCs w:val="28"/>
        </w:rPr>
        <w:t>Rules of Procedure for Committees</w:t>
      </w:r>
    </w:p>
    <w:p w14:paraId="74F76F7A" w14:textId="77777777" w:rsidR="00A452E9" w:rsidRPr="00A452E9" w:rsidRDefault="00A452E9" w:rsidP="00A452E9">
      <w:pPr>
        <w:rPr>
          <w:b/>
          <w:bCs/>
          <w:sz w:val="22"/>
        </w:rPr>
      </w:pPr>
      <w:r w:rsidRPr="00A452E9">
        <w:rPr>
          <w:b/>
          <w:bCs/>
          <w:sz w:val="22"/>
        </w:rPr>
        <w:t>Meetings</w:t>
      </w:r>
    </w:p>
    <w:p w14:paraId="537C8053" w14:textId="77777777" w:rsidR="00A452E9" w:rsidRPr="00A452E9" w:rsidRDefault="00A452E9" w:rsidP="00A452E9">
      <w:pPr>
        <w:rPr>
          <w:b/>
          <w:bCs/>
          <w:sz w:val="22"/>
        </w:rPr>
      </w:pPr>
      <w:r w:rsidRPr="00A452E9">
        <w:rPr>
          <w:bCs/>
          <w:sz w:val="22"/>
        </w:rPr>
        <w:t>11.1</w:t>
      </w:r>
      <w:r w:rsidRPr="00A452E9">
        <w:rPr>
          <w:bCs/>
          <w:sz w:val="22"/>
        </w:rPr>
        <w:tab/>
      </w:r>
      <w:r w:rsidRPr="00A452E9">
        <w:rPr>
          <w:sz w:val="22"/>
        </w:rPr>
        <w:t>Committee meetings shall normally be held twice a year at the seat of the Organization. Exceptionally they may be held elsewhere, with the approval of the Secretary‐General.</w:t>
      </w:r>
    </w:p>
    <w:p w14:paraId="6A53C44B" w14:textId="77777777" w:rsidR="00A452E9" w:rsidRPr="00A452E9" w:rsidRDefault="00A452E9" w:rsidP="00A452E9">
      <w:pPr>
        <w:rPr>
          <w:b/>
          <w:bCs/>
          <w:sz w:val="22"/>
        </w:rPr>
      </w:pPr>
      <w:r w:rsidRPr="00A452E9">
        <w:rPr>
          <w:bCs/>
          <w:sz w:val="22"/>
        </w:rPr>
        <w:t>11.2</w:t>
      </w:r>
      <w:r w:rsidRPr="00A452E9">
        <w:rPr>
          <w:bCs/>
          <w:sz w:val="22"/>
        </w:rPr>
        <w:tab/>
      </w:r>
      <w:r w:rsidRPr="00A452E9">
        <w:rPr>
          <w:sz w:val="22"/>
        </w:rPr>
        <w:t>The duration of a Committee meeting shall normally be five days, with the daily schedule being decided by the Committee Chair.</w:t>
      </w:r>
    </w:p>
    <w:p w14:paraId="2A9E70C7" w14:textId="77777777" w:rsidR="00A452E9" w:rsidRPr="00A452E9" w:rsidRDefault="00A452E9" w:rsidP="00A452E9">
      <w:pPr>
        <w:rPr>
          <w:b/>
          <w:bCs/>
          <w:sz w:val="22"/>
        </w:rPr>
      </w:pPr>
      <w:r w:rsidRPr="00A452E9">
        <w:rPr>
          <w:bCs/>
          <w:sz w:val="22"/>
        </w:rPr>
        <w:t>11.3</w:t>
      </w:r>
      <w:r w:rsidRPr="00A452E9">
        <w:rPr>
          <w:bCs/>
          <w:sz w:val="22"/>
        </w:rPr>
        <w:tab/>
      </w:r>
      <w:r w:rsidRPr="00A452E9">
        <w:rPr>
          <w:sz w:val="22"/>
        </w:rPr>
        <w:t>The Secretariat shall inform all Member States, Associate Members and Affiliate Members of the date and venue of each Committee meeting one year in advance. Notices shall be sent ninety calendar days in advance and again thirty calendar days in advance.</w:t>
      </w:r>
    </w:p>
    <w:p w14:paraId="1B593B9E" w14:textId="77777777" w:rsidR="00A452E9" w:rsidRPr="00A452E9" w:rsidRDefault="00A452E9" w:rsidP="00A452E9">
      <w:pPr>
        <w:rPr>
          <w:b/>
          <w:bCs/>
          <w:sz w:val="22"/>
        </w:rPr>
      </w:pPr>
      <w:r w:rsidRPr="00A452E9">
        <w:rPr>
          <w:bCs/>
          <w:sz w:val="22"/>
        </w:rPr>
        <w:t>11.4</w:t>
      </w:r>
      <w:r w:rsidRPr="00A452E9">
        <w:rPr>
          <w:bCs/>
          <w:sz w:val="22"/>
        </w:rPr>
        <w:tab/>
      </w:r>
      <w:r w:rsidRPr="00A452E9">
        <w:rPr>
          <w:sz w:val="22"/>
        </w:rPr>
        <w:t>Every Member State, Associate Member and Affiliate Member may send representatives to participate in a Committee meeting.</w:t>
      </w:r>
    </w:p>
    <w:p w14:paraId="4950CE27" w14:textId="77777777" w:rsidR="00A452E9" w:rsidRPr="00A452E9" w:rsidRDefault="00A452E9" w:rsidP="00A452E9">
      <w:pPr>
        <w:rPr>
          <w:b/>
          <w:bCs/>
          <w:sz w:val="22"/>
        </w:rPr>
      </w:pPr>
      <w:r w:rsidRPr="00A452E9">
        <w:rPr>
          <w:bCs/>
          <w:sz w:val="22"/>
        </w:rPr>
        <w:t>11.5</w:t>
      </w:r>
      <w:r w:rsidRPr="00A452E9">
        <w:rPr>
          <w:bCs/>
          <w:sz w:val="22"/>
        </w:rPr>
        <w:tab/>
      </w:r>
      <w:r w:rsidRPr="00A452E9">
        <w:rPr>
          <w:sz w:val="22"/>
        </w:rPr>
        <w:t>Member States, Associate Members and Affiliate Members intending to send representatives to a meeting should advise the Secretariat by the means of online registration.</w:t>
      </w:r>
    </w:p>
    <w:p w14:paraId="3C017906" w14:textId="77777777" w:rsidR="00A452E9" w:rsidRPr="00A452E9" w:rsidRDefault="00A452E9" w:rsidP="00A452E9">
      <w:pPr>
        <w:rPr>
          <w:b/>
          <w:bCs/>
          <w:sz w:val="22"/>
        </w:rPr>
      </w:pPr>
      <w:r w:rsidRPr="00A452E9">
        <w:rPr>
          <w:bCs/>
          <w:sz w:val="22"/>
        </w:rPr>
        <w:t>11.6</w:t>
      </w:r>
      <w:r w:rsidRPr="00A452E9">
        <w:rPr>
          <w:bCs/>
          <w:sz w:val="22"/>
        </w:rPr>
        <w:tab/>
      </w:r>
      <w:r w:rsidRPr="00A452E9">
        <w:rPr>
          <w:sz w:val="22"/>
        </w:rPr>
        <w:t>When it would be beneficial to the work of a Committee, individuals from academic, scientific, research or other relevant organizations may be invited by the Secretary‐General to attend a Committee meeting for a specific purpose and to adhere to Article 11.7.</w:t>
      </w:r>
    </w:p>
    <w:p w14:paraId="1F8CA044" w14:textId="77777777" w:rsidR="00A452E9" w:rsidRPr="00A452E9" w:rsidRDefault="00A452E9" w:rsidP="00A452E9">
      <w:pPr>
        <w:rPr>
          <w:b/>
          <w:bCs/>
          <w:sz w:val="22"/>
        </w:rPr>
      </w:pPr>
      <w:r w:rsidRPr="00A452E9">
        <w:rPr>
          <w:bCs/>
          <w:sz w:val="22"/>
        </w:rPr>
        <w:t>11.7</w:t>
      </w:r>
      <w:r w:rsidRPr="00A452E9">
        <w:rPr>
          <w:bCs/>
          <w:sz w:val="22"/>
        </w:rPr>
        <w:tab/>
      </w:r>
      <w:r w:rsidRPr="00A452E9">
        <w:rPr>
          <w:sz w:val="22"/>
        </w:rPr>
        <w:t>Committee participants will ensure that they:</w:t>
      </w:r>
    </w:p>
    <w:p w14:paraId="70ED164F" w14:textId="77777777" w:rsidR="00A452E9" w:rsidRPr="00A452E9" w:rsidRDefault="00A452E9" w:rsidP="00A452E9">
      <w:pPr>
        <w:ind w:left="720"/>
        <w:rPr>
          <w:sz w:val="22"/>
        </w:rPr>
      </w:pPr>
      <w:r w:rsidRPr="00A452E9">
        <w:rPr>
          <w:sz w:val="22"/>
        </w:rPr>
        <w:t>(a)</w:t>
      </w:r>
      <w:r w:rsidRPr="00A452E9">
        <w:rPr>
          <w:sz w:val="22"/>
        </w:rPr>
        <w:tab/>
        <w:t>act honestly and in good faith, with a view to upholding the best interests and aim and objectives of the Organization;</w:t>
      </w:r>
    </w:p>
    <w:p w14:paraId="527DCB16" w14:textId="77777777" w:rsidR="00A452E9" w:rsidRPr="00A452E9" w:rsidRDefault="00A452E9" w:rsidP="00A452E9">
      <w:pPr>
        <w:ind w:left="720"/>
        <w:rPr>
          <w:sz w:val="22"/>
        </w:rPr>
      </w:pPr>
      <w:r w:rsidRPr="00A452E9">
        <w:rPr>
          <w:sz w:val="22"/>
        </w:rPr>
        <w:t>(b)</w:t>
      </w:r>
      <w:r w:rsidRPr="00A452E9">
        <w:rPr>
          <w:sz w:val="22"/>
        </w:rPr>
        <w:tab/>
        <w:t>advise the Committee of a perceived, potential, or actual conflict of interest and withdraw from discussion of that particular item, if appropriate;</w:t>
      </w:r>
    </w:p>
    <w:p w14:paraId="3EE4E488" w14:textId="77777777" w:rsidR="00A452E9" w:rsidRPr="00A452E9" w:rsidRDefault="00A452E9" w:rsidP="00A452E9">
      <w:pPr>
        <w:ind w:firstLine="720"/>
        <w:rPr>
          <w:sz w:val="22"/>
        </w:rPr>
      </w:pPr>
      <w:r w:rsidRPr="00A452E9">
        <w:rPr>
          <w:sz w:val="22"/>
        </w:rPr>
        <w:t>(c)</w:t>
      </w:r>
      <w:r w:rsidRPr="00A452E9">
        <w:rPr>
          <w:sz w:val="22"/>
        </w:rPr>
        <w:tab/>
        <w:t>do not conduct any commercial activity during meetings; and</w:t>
      </w:r>
    </w:p>
    <w:p w14:paraId="6E201191" w14:textId="77777777" w:rsidR="00A452E9" w:rsidRDefault="00A452E9" w:rsidP="00A452E9">
      <w:pPr>
        <w:ind w:left="720"/>
        <w:rPr>
          <w:sz w:val="22"/>
        </w:rPr>
      </w:pPr>
      <w:r w:rsidRPr="00A452E9">
        <w:rPr>
          <w:sz w:val="22"/>
        </w:rPr>
        <w:lastRenderedPageBreak/>
        <w:t>(d)</w:t>
      </w:r>
      <w:r w:rsidRPr="00A452E9">
        <w:rPr>
          <w:sz w:val="22"/>
        </w:rPr>
        <w:tab/>
        <w:t>endeavour to keep the Organization’s products free from unresolved or unreasonable intellectual property rights issues and claims.</w:t>
      </w:r>
    </w:p>
    <w:p w14:paraId="103E3B12" w14:textId="77777777" w:rsidR="00A452E9" w:rsidRPr="00A452E9" w:rsidRDefault="00A452E9" w:rsidP="00A452E9">
      <w:pPr>
        <w:ind w:left="720"/>
        <w:rPr>
          <w:sz w:val="22"/>
        </w:rPr>
      </w:pPr>
    </w:p>
    <w:p w14:paraId="5F4ED18C" w14:textId="77777777" w:rsidR="00A452E9" w:rsidRPr="00A452E9" w:rsidRDefault="00A452E9" w:rsidP="00A452E9">
      <w:pPr>
        <w:rPr>
          <w:b/>
          <w:bCs/>
          <w:sz w:val="22"/>
        </w:rPr>
      </w:pPr>
      <w:r w:rsidRPr="00A452E9">
        <w:rPr>
          <w:b/>
          <w:bCs/>
          <w:sz w:val="22"/>
        </w:rPr>
        <w:t>Work of the Committees</w:t>
      </w:r>
    </w:p>
    <w:p w14:paraId="6DC9DB06" w14:textId="77777777" w:rsidR="00A452E9" w:rsidRPr="00A452E9" w:rsidRDefault="00A452E9" w:rsidP="00A452E9">
      <w:pPr>
        <w:pStyle w:val="BodyText"/>
        <w:rPr>
          <w:b/>
          <w:bCs/>
        </w:rPr>
      </w:pPr>
      <w:r w:rsidRPr="00A452E9">
        <w:rPr>
          <w:bCs/>
        </w:rPr>
        <w:t>11.8</w:t>
      </w:r>
      <w:r w:rsidRPr="00A452E9">
        <w:rPr>
          <w:bCs/>
        </w:rPr>
        <w:tab/>
      </w:r>
      <w:r w:rsidRPr="00A452E9">
        <w:t>Each Committee shall develop and work to a work programme. The following factors shall be taken into account when the work programme is developed:</w:t>
      </w:r>
    </w:p>
    <w:p w14:paraId="73E455FC" w14:textId="77777777" w:rsidR="00A452E9" w:rsidRPr="00A452E9" w:rsidRDefault="00A452E9" w:rsidP="00A452E9">
      <w:pPr>
        <w:ind w:firstLine="720"/>
        <w:rPr>
          <w:sz w:val="22"/>
        </w:rPr>
      </w:pPr>
      <w:r w:rsidRPr="00A452E9">
        <w:rPr>
          <w:sz w:val="22"/>
        </w:rPr>
        <w:t>(a)</w:t>
      </w:r>
      <w:r w:rsidRPr="00A452E9">
        <w:rPr>
          <w:sz w:val="22"/>
        </w:rPr>
        <w:tab/>
        <w:t>the strategic vision;</w:t>
      </w:r>
    </w:p>
    <w:p w14:paraId="19C39877" w14:textId="77777777" w:rsidR="00A452E9" w:rsidRPr="00A452E9" w:rsidRDefault="00A452E9" w:rsidP="00A452E9">
      <w:pPr>
        <w:ind w:left="720"/>
        <w:rPr>
          <w:sz w:val="22"/>
        </w:rPr>
      </w:pPr>
      <w:r w:rsidRPr="00A452E9">
        <w:rPr>
          <w:sz w:val="22"/>
        </w:rPr>
        <w:t>(b)</w:t>
      </w:r>
      <w:r w:rsidRPr="00A452E9">
        <w:rPr>
          <w:sz w:val="22"/>
        </w:rPr>
        <w:tab/>
        <w:t>the number of meetings available to the Committee during the three‐year work period, which is the time between regular sessions of the General Assembly;</w:t>
      </w:r>
    </w:p>
    <w:p w14:paraId="7FBCC0B4" w14:textId="77777777" w:rsidR="00A452E9" w:rsidRPr="00A452E9" w:rsidRDefault="00A452E9" w:rsidP="00A452E9">
      <w:pPr>
        <w:ind w:firstLine="720"/>
        <w:rPr>
          <w:sz w:val="22"/>
        </w:rPr>
      </w:pPr>
      <w:r w:rsidRPr="00A452E9">
        <w:rPr>
          <w:sz w:val="22"/>
        </w:rPr>
        <w:t>(c)</w:t>
      </w:r>
      <w:r w:rsidRPr="00A452E9">
        <w:rPr>
          <w:sz w:val="22"/>
        </w:rPr>
        <w:tab/>
        <w:t>the order in which the work should be undertaken; and</w:t>
      </w:r>
    </w:p>
    <w:p w14:paraId="0739B16E" w14:textId="77777777" w:rsidR="00A452E9" w:rsidRDefault="00A452E9" w:rsidP="00A452E9">
      <w:pPr>
        <w:ind w:firstLine="720"/>
        <w:rPr>
          <w:sz w:val="22"/>
        </w:rPr>
      </w:pPr>
      <w:r w:rsidRPr="00A452E9">
        <w:rPr>
          <w:sz w:val="22"/>
        </w:rPr>
        <w:t>(d)</w:t>
      </w:r>
      <w:r w:rsidRPr="00A452E9">
        <w:rPr>
          <w:sz w:val="22"/>
        </w:rPr>
        <w:tab/>
        <w:t>any other matters relevant to the work of the Committee.</w:t>
      </w:r>
    </w:p>
    <w:p w14:paraId="7758BD33" w14:textId="77777777" w:rsidR="00A452E9" w:rsidRPr="00A452E9" w:rsidRDefault="00A452E9" w:rsidP="00A452E9">
      <w:pPr>
        <w:ind w:firstLine="720"/>
        <w:rPr>
          <w:sz w:val="22"/>
        </w:rPr>
      </w:pPr>
    </w:p>
    <w:p w14:paraId="4B587C23" w14:textId="77777777" w:rsidR="00A452E9" w:rsidRPr="00A452E9" w:rsidRDefault="00A452E9" w:rsidP="00A452E9">
      <w:pPr>
        <w:pStyle w:val="BodyText"/>
      </w:pPr>
      <w:r w:rsidRPr="00A452E9">
        <w:t>11.9</w:t>
      </w:r>
      <w:r w:rsidRPr="00A452E9">
        <w:tab/>
        <w:t>A Committee work programme, or changes thereto, shall be submitted to the Council for review and approval.</w:t>
      </w:r>
    </w:p>
    <w:p w14:paraId="1C9F26E1" w14:textId="77777777" w:rsidR="00A452E9" w:rsidRPr="00A452E9" w:rsidRDefault="00A452E9" w:rsidP="00A452E9">
      <w:pPr>
        <w:pStyle w:val="BodyText"/>
      </w:pPr>
      <w:r w:rsidRPr="00A452E9">
        <w:t>11.10</w:t>
      </w:r>
      <w:r w:rsidRPr="00A452E9">
        <w:tab/>
        <w:t>The work of a Committee may be facilitated by the use of working groups. The creation of a working group is at the discretion of the Committee Chair.</w:t>
      </w:r>
    </w:p>
    <w:p w14:paraId="20A34940" w14:textId="77777777" w:rsidR="00A452E9" w:rsidRPr="00A452E9" w:rsidRDefault="00A452E9" w:rsidP="00A452E9">
      <w:pPr>
        <w:pStyle w:val="BodyText"/>
      </w:pPr>
      <w:r w:rsidRPr="00A452E9">
        <w:t>11.11</w:t>
      </w:r>
      <w:r w:rsidRPr="00A452E9">
        <w:tab/>
        <w:t>A working group will be an integral part of its parent Committee and will meet during the same week as the Committee. A working group can consist of one or more task groups.</w:t>
      </w:r>
    </w:p>
    <w:p w14:paraId="333DE8FA" w14:textId="77777777" w:rsidR="00A452E9" w:rsidRPr="00A452E9" w:rsidRDefault="00A452E9" w:rsidP="00A452E9">
      <w:pPr>
        <w:pStyle w:val="BodyText"/>
      </w:pPr>
      <w:r w:rsidRPr="00A452E9">
        <w:t>11.12</w:t>
      </w:r>
      <w:r w:rsidRPr="00A452E9">
        <w:tab/>
        <w:t>An intersessional meeting of a working group is a meeting held between two meetings of the parent Committee. Such a meeting may be used to enable faster progress of a specific work item.</w:t>
      </w:r>
    </w:p>
    <w:p w14:paraId="691F98A8" w14:textId="77777777" w:rsidR="00A452E9" w:rsidRPr="00A452E9" w:rsidRDefault="00A452E9" w:rsidP="00A452E9">
      <w:pPr>
        <w:pStyle w:val="BodyText"/>
      </w:pPr>
      <w:r w:rsidRPr="00A452E9">
        <w:t>11.13</w:t>
      </w:r>
      <w:r w:rsidRPr="00A452E9">
        <w:tab/>
        <w:t xml:space="preserve">An intersessional meeting of a working group or a task group requires the agreement of the chair of the parent Committee. The meeting should normally be held in virtual format using online meeting facilities provided by the Secretariat. If the meeting requires resources from the Secretariat other than online meeting facilities or is held with physical attendance at the seat of the Organization or an alternative location hosted by a member, the approval of the Secretary-General is needed. </w:t>
      </w:r>
    </w:p>
    <w:p w14:paraId="7C305D10" w14:textId="77777777" w:rsidR="00A452E9" w:rsidRPr="00A452E9" w:rsidRDefault="00A452E9" w:rsidP="00A452E9">
      <w:pPr>
        <w:pStyle w:val="BodyText"/>
      </w:pPr>
      <w:r w:rsidRPr="00A452E9">
        <w:t>11.14</w:t>
      </w:r>
      <w:r w:rsidRPr="00A452E9">
        <w:tab/>
        <w:t>With the approval of the parent Committee, the Chair may appoint rapporteurs from the parent Committee to regularly provide advice to the parent Committee on specific matters that have an impact on or influence the work of the parent Committee.</w:t>
      </w:r>
    </w:p>
    <w:p w14:paraId="666F2E90" w14:textId="77777777" w:rsidR="00A452E9" w:rsidRPr="00A452E9" w:rsidRDefault="00A452E9" w:rsidP="00A452E9">
      <w:pPr>
        <w:rPr>
          <w:b/>
          <w:bCs/>
          <w:sz w:val="22"/>
        </w:rPr>
      </w:pPr>
      <w:r w:rsidRPr="00A452E9">
        <w:rPr>
          <w:b/>
          <w:bCs/>
          <w:sz w:val="22"/>
        </w:rPr>
        <w:t>Decisions</w:t>
      </w:r>
    </w:p>
    <w:p w14:paraId="525A3EFA" w14:textId="77777777" w:rsidR="00A452E9" w:rsidRPr="00A452E9" w:rsidRDefault="00A452E9" w:rsidP="00A452E9">
      <w:pPr>
        <w:pStyle w:val="BodyText"/>
      </w:pPr>
      <w:r w:rsidRPr="00A452E9">
        <w:t>11.15</w:t>
      </w:r>
      <w:r w:rsidRPr="00A452E9">
        <w:tab/>
        <w:t>All efforts shall be made for the Committees to make decisions by consensus. If a consensus on a specific matter cannot be reached, a Committee shall decide by a simple majority of the Member States present and voting. The voting will be by show of hands overseen by two scrutineers appointed by the Chair from among the Member States. There shall be only one vote per Member State. The Chair has a casting vote if necessary.</w:t>
      </w:r>
    </w:p>
    <w:p w14:paraId="6B2ECF8A" w14:textId="77777777" w:rsidR="00A452E9" w:rsidRPr="00A452E9" w:rsidRDefault="00A452E9" w:rsidP="00A452E9">
      <w:pPr>
        <w:rPr>
          <w:b/>
          <w:bCs/>
          <w:sz w:val="22"/>
        </w:rPr>
      </w:pPr>
      <w:r w:rsidRPr="00A452E9">
        <w:rPr>
          <w:b/>
          <w:bCs/>
          <w:sz w:val="22"/>
        </w:rPr>
        <w:t>Agenda and Documents</w:t>
      </w:r>
    </w:p>
    <w:p w14:paraId="7DDCCF59" w14:textId="242B62BD" w:rsidR="00A452E9" w:rsidRPr="00A452E9" w:rsidRDefault="00A452E9" w:rsidP="00A452E9">
      <w:pPr>
        <w:pStyle w:val="BodyText"/>
        <w:rPr>
          <w:b/>
          <w:bCs/>
        </w:rPr>
      </w:pPr>
      <w:r w:rsidRPr="00A452E9">
        <w:rPr>
          <w:bCs/>
        </w:rPr>
        <w:t>11.16</w:t>
      </w:r>
      <w:r w:rsidRPr="00A452E9">
        <w:rPr>
          <w:bCs/>
        </w:rPr>
        <w:tab/>
      </w:r>
      <w:r w:rsidRPr="00A452E9">
        <w:t>Agenda items will depend upon the specific topics to be addressed during the particular Committee meeting to which the agenda refers. The agenda will be prepared by the Chair, assisted by the Vice Chair and the secretary to the Committee, taking into account the strategic vision, the Committee structure and the work programme of the Committee.</w:t>
      </w:r>
    </w:p>
    <w:p w14:paraId="1B0B9108" w14:textId="77777777" w:rsidR="00A452E9" w:rsidRPr="00A452E9" w:rsidRDefault="00A452E9" w:rsidP="00A452E9">
      <w:pPr>
        <w:pStyle w:val="BodyText"/>
        <w:rPr>
          <w:b/>
          <w:bCs/>
        </w:rPr>
      </w:pPr>
      <w:r w:rsidRPr="00A452E9">
        <w:rPr>
          <w:bCs/>
        </w:rPr>
        <w:t>11.17</w:t>
      </w:r>
      <w:r w:rsidRPr="00A452E9">
        <w:rPr>
          <w:bCs/>
        </w:rPr>
        <w:tab/>
      </w:r>
      <w:r w:rsidRPr="00A452E9">
        <w:t>Input documents for a Committee meeting should be sent to the Secretariat not later than thirty calendar days before the meeting and will be published on the relevant section of the Organization’s website not later than fourteen calendar days before the meeting. Documents should conform to the standard template.</w:t>
      </w:r>
    </w:p>
    <w:p w14:paraId="25C79196" w14:textId="77777777" w:rsidR="00A452E9" w:rsidRPr="00A452E9" w:rsidRDefault="00A452E9" w:rsidP="00A452E9">
      <w:pPr>
        <w:pStyle w:val="BodyText"/>
        <w:rPr>
          <w:b/>
          <w:bCs/>
        </w:rPr>
      </w:pPr>
      <w:r w:rsidRPr="00A452E9">
        <w:rPr>
          <w:bCs/>
        </w:rPr>
        <w:t>11.18</w:t>
      </w:r>
      <w:r w:rsidRPr="00A452E9">
        <w:rPr>
          <w:bCs/>
        </w:rPr>
        <w:tab/>
      </w:r>
      <w:r w:rsidRPr="00A452E9">
        <w:t>Documents for consideration at a Committee meeting will be numbered by the Secretariat in a way that indicates the meeting number, the agenda item to which they refer and the description.</w:t>
      </w:r>
    </w:p>
    <w:p w14:paraId="7428EB60" w14:textId="77777777" w:rsidR="00A452E9" w:rsidRPr="00A452E9" w:rsidRDefault="00A452E9" w:rsidP="00A452E9">
      <w:pPr>
        <w:pStyle w:val="BodyText"/>
        <w:rPr>
          <w:b/>
          <w:bCs/>
        </w:rPr>
      </w:pPr>
      <w:r w:rsidRPr="00A452E9">
        <w:rPr>
          <w:bCs/>
        </w:rPr>
        <w:t>11.19</w:t>
      </w:r>
      <w:r w:rsidRPr="00A452E9">
        <w:rPr>
          <w:bCs/>
        </w:rPr>
        <w:tab/>
      </w:r>
      <w:r w:rsidRPr="00A452E9">
        <w:t>Any Member State, Associate Member and Affiliate Member may submit a document addressing any item on the work programme of a Committee.</w:t>
      </w:r>
    </w:p>
    <w:p w14:paraId="60DAB171" w14:textId="77777777" w:rsidR="00A452E9" w:rsidRPr="00A452E9" w:rsidRDefault="00A452E9" w:rsidP="00A452E9">
      <w:pPr>
        <w:pStyle w:val="BodyText"/>
        <w:rPr>
          <w:b/>
          <w:bCs/>
        </w:rPr>
      </w:pPr>
      <w:r w:rsidRPr="00A452E9">
        <w:rPr>
          <w:bCs/>
        </w:rPr>
        <w:lastRenderedPageBreak/>
        <w:t>11.20</w:t>
      </w:r>
      <w:r w:rsidRPr="00A452E9">
        <w:rPr>
          <w:bCs/>
        </w:rPr>
        <w:tab/>
      </w:r>
      <w:r w:rsidRPr="00A452E9">
        <w:t>Working documents are documents to be carried over to a subsequent meeting.</w:t>
      </w:r>
    </w:p>
    <w:p w14:paraId="40D627B9" w14:textId="77777777" w:rsidR="00A452E9" w:rsidRPr="00A452E9" w:rsidRDefault="00A452E9" w:rsidP="00A452E9">
      <w:pPr>
        <w:pStyle w:val="BodyText"/>
        <w:rPr>
          <w:b/>
          <w:bCs/>
        </w:rPr>
      </w:pPr>
      <w:r w:rsidRPr="00A452E9">
        <w:rPr>
          <w:bCs/>
        </w:rPr>
        <w:t>11.21</w:t>
      </w:r>
      <w:r w:rsidRPr="00A452E9">
        <w:rPr>
          <w:bCs/>
        </w:rPr>
        <w:tab/>
      </w:r>
      <w:r w:rsidRPr="00A452E9">
        <w:t>Output documents are documents completed by the Committee. They include draft standards, recommendations, guidelines, manuals and other documents for submission to the Council for approval.</w:t>
      </w:r>
    </w:p>
    <w:p w14:paraId="72BEBEB8" w14:textId="77777777" w:rsidR="00A452E9" w:rsidRPr="00A452E9" w:rsidRDefault="00A452E9" w:rsidP="00A452E9">
      <w:pPr>
        <w:pStyle w:val="BodyText"/>
        <w:rPr>
          <w:b/>
          <w:bCs/>
        </w:rPr>
      </w:pPr>
      <w:r w:rsidRPr="00A452E9">
        <w:rPr>
          <w:bCs/>
        </w:rPr>
        <w:t>11.22</w:t>
      </w:r>
      <w:r w:rsidRPr="00A452E9">
        <w:rPr>
          <w:bCs/>
        </w:rPr>
        <w:tab/>
      </w:r>
      <w:r w:rsidRPr="00A452E9">
        <w:t>The report of a Committee meeting shall be approved by the Committee, endorsed by the Chair, and made available for Member States, Associate Members and Affiliate Members on the website of the Organization by the Secretariat within seven calendar days.</w:t>
      </w:r>
    </w:p>
    <w:p w14:paraId="1AA782DF" w14:textId="77777777" w:rsidR="00A452E9" w:rsidRPr="00A452E9" w:rsidRDefault="00A452E9" w:rsidP="00A452E9">
      <w:pPr>
        <w:pStyle w:val="BodyText"/>
        <w:rPr>
          <w:b/>
          <w:bCs/>
        </w:rPr>
      </w:pPr>
      <w:r w:rsidRPr="00A452E9">
        <w:rPr>
          <w:bCs/>
        </w:rPr>
        <w:t>11.23</w:t>
      </w:r>
      <w:r w:rsidRPr="00A452E9">
        <w:rPr>
          <w:bCs/>
        </w:rPr>
        <w:tab/>
      </w:r>
      <w:r w:rsidRPr="00A452E9">
        <w:t>Input documents and reports shall follow the respective template formats provided by the Secretariat.</w:t>
      </w:r>
    </w:p>
    <w:p w14:paraId="27545963" w14:textId="77777777" w:rsidR="00A452E9" w:rsidRPr="00A452E9" w:rsidRDefault="00A452E9" w:rsidP="00A452E9">
      <w:pPr>
        <w:pStyle w:val="BodyText"/>
        <w:rPr>
          <w:b/>
          <w:bCs/>
        </w:rPr>
      </w:pPr>
      <w:r w:rsidRPr="00A452E9">
        <w:rPr>
          <w:bCs/>
        </w:rPr>
        <w:t>11.24</w:t>
      </w:r>
      <w:r w:rsidRPr="00A452E9">
        <w:rPr>
          <w:bCs/>
        </w:rPr>
        <w:tab/>
      </w:r>
      <w:r w:rsidRPr="00A452E9">
        <w:t>Draft standards, recommendations, guidelines, manuals and other documents produced by a Committee shall follow a quality assurance process. This process has the following steps:</w:t>
      </w:r>
    </w:p>
    <w:p w14:paraId="69F60387" w14:textId="77777777" w:rsidR="00A452E9" w:rsidRPr="00A452E9" w:rsidRDefault="00A452E9" w:rsidP="00A452E9">
      <w:pPr>
        <w:ind w:left="720"/>
        <w:rPr>
          <w:sz w:val="22"/>
        </w:rPr>
      </w:pPr>
      <w:r w:rsidRPr="00A452E9">
        <w:rPr>
          <w:sz w:val="22"/>
        </w:rPr>
        <w:t>(a)</w:t>
      </w:r>
      <w:r w:rsidRPr="00A452E9">
        <w:rPr>
          <w:sz w:val="22"/>
        </w:rPr>
        <w:tab/>
        <w:t>The Chair and Vice‐Chair of the Committee shall be actively involved throughout the development process. The Secretariat shall be involved throughout the development process for format and editorial review.</w:t>
      </w:r>
    </w:p>
    <w:p w14:paraId="1DF246B5" w14:textId="77777777" w:rsidR="00A452E9" w:rsidRPr="00A452E9" w:rsidRDefault="00A452E9" w:rsidP="00A452E9">
      <w:pPr>
        <w:ind w:left="720"/>
        <w:rPr>
          <w:sz w:val="22"/>
        </w:rPr>
      </w:pPr>
      <w:r w:rsidRPr="00A452E9">
        <w:rPr>
          <w:sz w:val="22"/>
        </w:rPr>
        <w:t>(b)</w:t>
      </w:r>
      <w:r w:rsidRPr="00A452E9">
        <w:rPr>
          <w:sz w:val="22"/>
        </w:rPr>
        <w:tab/>
        <w:t>Once completed by a Committee, an output document shall proceed through a quality assurance check conducted by the Secretariat, including final formatting and shall then be sent to the Council for review and approval.</w:t>
      </w:r>
    </w:p>
    <w:p w14:paraId="728F6079" w14:textId="77777777" w:rsidR="00A452E9" w:rsidRPr="00A452E9" w:rsidRDefault="00A452E9" w:rsidP="00A452E9">
      <w:pPr>
        <w:ind w:left="720"/>
        <w:rPr>
          <w:sz w:val="22"/>
        </w:rPr>
      </w:pPr>
      <w:r w:rsidRPr="00A452E9">
        <w:rPr>
          <w:sz w:val="22"/>
        </w:rPr>
        <w:t>(c)</w:t>
      </w:r>
      <w:r w:rsidRPr="00A452E9">
        <w:rPr>
          <w:sz w:val="22"/>
        </w:rPr>
        <w:tab/>
        <w:t>Before approval by the Council or the General Assembly in the case of standards, an output document must be marked “Draft” on each page.</w:t>
      </w:r>
    </w:p>
    <w:p w14:paraId="0174F02E" w14:textId="77777777" w:rsidR="00A452E9" w:rsidRPr="00A452E9" w:rsidRDefault="00A452E9" w:rsidP="00A452E9">
      <w:pPr>
        <w:ind w:left="720"/>
        <w:rPr>
          <w:sz w:val="22"/>
        </w:rPr>
      </w:pPr>
      <w:r w:rsidRPr="00A452E9">
        <w:rPr>
          <w:sz w:val="22"/>
        </w:rPr>
        <w:t>(d)</w:t>
      </w:r>
      <w:r w:rsidRPr="00A452E9">
        <w:rPr>
          <w:sz w:val="22"/>
        </w:rPr>
        <w:tab/>
        <w:t>After approval by the Council or the General Assembly as appropriate, the document shall be placed on the website of the Organization with public access.</w:t>
      </w:r>
    </w:p>
    <w:p w14:paraId="7E2ECFAD" w14:textId="77777777" w:rsidR="00A452E9" w:rsidRPr="00A452E9" w:rsidRDefault="00A452E9" w:rsidP="00A452E9">
      <w:pPr>
        <w:ind w:left="720"/>
        <w:rPr>
          <w:sz w:val="22"/>
        </w:rPr>
      </w:pPr>
      <w:r w:rsidRPr="00A452E9">
        <w:rPr>
          <w:sz w:val="22"/>
        </w:rPr>
        <w:t>(e)</w:t>
      </w:r>
      <w:r w:rsidRPr="00A452E9">
        <w:rPr>
          <w:sz w:val="22"/>
        </w:rPr>
        <w:tab/>
        <w:t>Member States, Associate Members and Affiliate Members shall be notified of newly approved documents.</w:t>
      </w:r>
    </w:p>
    <w:p w14:paraId="64E21E2D" w14:textId="77777777" w:rsidR="00A452E9" w:rsidRPr="004E72EE" w:rsidRDefault="00A452E9" w:rsidP="00A452E9">
      <w:pPr>
        <w:ind w:left="1440"/>
      </w:pPr>
    </w:p>
    <w:p w14:paraId="51AC932A" w14:textId="77777777" w:rsidR="00A452E9" w:rsidRDefault="00A452E9" w:rsidP="00A452E9">
      <w:pPr>
        <w:jc w:val="center"/>
        <w:rPr>
          <w:b/>
          <w:bCs/>
          <w:sz w:val="28"/>
          <w:szCs w:val="28"/>
        </w:rPr>
      </w:pPr>
      <w:r w:rsidRPr="001D38E0">
        <w:rPr>
          <w:b/>
          <w:bCs/>
          <w:sz w:val="28"/>
          <w:szCs w:val="28"/>
        </w:rPr>
        <w:t>Article 1</w:t>
      </w:r>
      <w:r>
        <w:rPr>
          <w:b/>
          <w:bCs/>
          <w:sz w:val="28"/>
          <w:szCs w:val="28"/>
        </w:rPr>
        <w:t>2</w:t>
      </w:r>
    </w:p>
    <w:p w14:paraId="6496A4E5" w14:textId="77777777" w:rsidR="00A452E9" w:rsidRDefault="00A452E9" w:rsidP="00A452E9">
      <w:pPr>
        <w:jc w:val="center"/>
        <w:rPr>
          <w:b/>
          <w:bCs/>
          <w:sz w:val="28"/>
          <w:szCs w:val="28"/>
        </w:rPr>
      </w:pPr>
      <w:r w:rsidRPr="001D38E0">
        <w:rPr>
          <w:b/>
          <w:bCs/>
          <w:sz w:val="28"/>
          <w:szCs w:val="28"/>
        </w:rPr>
        <w:t>Rules of Procedure for subsidiary bodies</w:t>
      </w:r>
    </w:p>
    <w:p w14:paraId="31135CBC" w14:textId="77777777" w:rsidR="00A452E9" w:rsidRPr="001D38E0" w:rsidRDefault="00A452E9" w:rsidP="00A452E9">
      <w:pPr>
        <w:jc w:val="center"/>
        <w:rPr>
          <w:b/>
          <w:bCs/>
          <w:sz w:val="28"/>
          <w:szCs w:val="28"/>
        </w:rPr>
      </w:pPr>
    </w:p>
    <w:p w14:paraId="0240E1F3" w14:textId="77777777" w:rsidR="00A452E9" w:rsidRPr="00A452E9" w:rsidRDefault="00A452E9" w:rsidP="00A452E9">
      <w:pPr>
        <w:pStyle w:val="BodyText"/>
        <w:rPr>
          <w:b/>
          <w:bCs/>
        </w:rPr>
      </w:pPr>
      <w:r w:rsidRPr="00A452E9">
        <w:rPr>
          <w:bCs/>
        </w:rPr>
        <w:t>12.1</w:t>
      </w:r>
      <w:r w:rsidRPr="00A452E9">
        <w:rPr>
          <w:bCs/>
        </w:rPr>
        <w:tab/>
      </w:r>
      <w:r w:rsidRPr="00A452E9">
        <w:t>Meetings shall normally be held twice a year at the seat of the Organization. Exceptionally they may be held elsewhere, with the approval of the Secretary‐General.</w:t>
      </w:r>
    </w:p>
    <w:p w14:paraId="0E28EB51" w14:textId="77777777" w:rsidR="00A452E9" w:rsidRPr="00A452E9" w:rsidRDefault="00A452E9" w:rsidP="00A452E9">
      <w:pPr>
        <w:pStyle w:val="BodyText"/>
        <w:rPr>
          <w:b/>
          <w:bCs/>
        </w:rPr>
      </w:pPr>
      <w:r w:rsidRPr="00A452E9">
        <w:rPr>
          <w:bCs/>
        </w:rPr>
        <w:t>12.2</w:t>
      </w:r>
      <w:r w:rsidRPr="00A452E9">
        <w:rPr>
          <w:bCs/>
        </w:rPr>
        <w:tab/>
      </w:r>
      <w:r w:rsidRPr="00A452E9">
        <w:t xml:space="preserve">The Secretariat shall inform the relevant participants, in accordance with the Terms of Reference, of the date and venue of each subsidiary body meeting one year in advance of the meeting. Notices shall be sent ninety calendar days in advance and again thirty calendar days in advance. </w:t>
      </w:r>
    </w:p>
    <w:p w14:paraId="52D83335" w14:textId="77777777" w:rsidR="00A452E9" w:rsidRPr="00A452E9" w:rsidRDefault="00A452E9" w:rsidP="00A452E9">
      <w:pPr>
        <w:pStyle w:val="BodyText"/>
        <w:rPr>
          <w:b/>
          <w:bCs/>
        </w:rPr>
      </w:pPr>
      <w:r w:rsidRPr="00A452E9">
        <w:rPr>
          <w:bCs/>
        </w:rPr>
        <w:t>12.3</w:t>
      </w:r>
      <w:r w:rsidRPr="00A452E9">
        <w:rPr>
          <w:bCs/>
        </w:rPr>
        <w:tab/>
      </w:r>
      <w:r w:rsidRPr="00A452E9">
        <w:t>Participation in subsidiary bodies should be communicated to the Secretariat by the means of online registration.</w:t>
      </w:r>
    </w:p>
    <w:p w14:paraId="4B314C40" w14:textId="77777777" w:rsidR="00A452E9" w:rsidRPr="00A452E9" w:rsidRDefault="00A452E9" w:rsidP="00A452E9">
      <w:pPr>
        <w:pStyle w:val="BodyText"/>
      </w:pPr>
      <w:r w:rsidRPr="00A452E9">
        <w:t>12.4</w:t>
      </w:r>
      <w:r w:rsidRPr="00A452E9">
        <w:tab/>
        <w:t>All efforts shall be made to make decisions by consensus. If a consensus on a specific matter cannot be reached, a subsidiary body shall decide by a simple majority of the Member States represented at the meeting without prejudice to Article 12.5 below. The voting will be by show of hands overseen by two scrutineers appointed by the Chair from among the Member States. There shall be only one vote per Member State. The Chair has a casting vote if necessary.</w:t>
      </w:r>
    </w:p>
    <w:p w14:paraId="3D46FE7A" w14:textId="77777777" w:rsidR="00A452E9" w:rsidRPr="00A452E9" w:rsidRDefault="00A452E9" w:rsidP="00A452E9">
      <w:pPr>
        <w:pStyle w:val="BodyText"/>
      </w:pPr>
      <w:r w:rsidRPr="00A452E9">
        <w:t>12.5</w:t>
      </w:r>
      <w:r w:rsidRPr="00A452E9">
        <w:tab/>
        <w:t>Where specific rules for voting are appropriate, these will be detailed in the Terms of Reference.</w:t>
      </w:r>
    </w:p>
    <w:p w14:paraId="627236FA" w14:textId="679D763E" w:rsidR="0048508E" w:rsidRPr="00A452E9" w:rsidRDefault="00A452E9" w:rsidP="00A452E9">
      <w:pPr>
        <w:pStyle w:val="BodyText"/>
      </w:pPr>
      <w:r w:rsidRPr="00A452E9">
        <w:t>12.6</w:t>
      </w:r>
      <w:r w:rsidRPr="00A452E9">
        <w:tab/>
        <w:t>Agenda and documents should generally be prepared following the Rules of Procedure for the Committees as set out in Article 11.</w:t>
      </w:r>
    </w:p>
    <w:sectPr w:rsidR="0048508E" w:rsidRPr="00A452E9"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5FB49" w14:textId="77777777" w:rsidR="001B0C73" w:rsidRDefault="001B0C73" w:rsidP="00362CD9">
      <w:r>
        <w:separator/>
      </w:r>
    </w:p>
  </w:endnote>
  <w:endnote w:type="continuationSeparator" w:id="0">
    <w:p w14:paraId="74E48885" w14:textId="77777777" w:rsidR="001B0C73" w:rsidRDefault="001B0C73"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41A8BB99" w:rsidR="004533B7" w:rsidRPr="00C907DF" w:rsidRDefault="00BE4121" w:rsidP="004533B7">
    <w:pPr>
      <w:pStyle w:val="Footerportrait"/>
    </w:pPr>
    <w:fldSimple w:instr=" STYLEREF  Title  \* MERGEFORMAT ">
      <w:r w:rsidR="00BB362A">
        <w:t>3.4</w:t>
      </w:r>
      <w:r w:rsidR="00BB362A">
        <w:tab/>
        <w:t>General Regulations related to committees</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01007827" w:rsidR="00637047" w:rsidRPr="00C907DF" w:rsidRDefault="0036544C" w:rsidP="00637047">
    <w:pPr>
      <w:pStyle w:val="Footerportrait"/>
    </w:pPr>
    <w:fldSimple w:instr=" STYLEREF  Title  \* MERGEFORMAT ">
      <w:r>
        <w:t xml:space="preserve">PAP workshop on Strategic Vision and </w:t>
      </w:r>
      <w:r>
        <w:br/>
        <w:t>Drivers and Trends</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5C866" w14:textId="77777777" w:rsidR="001B0C73" w:rsidRDefault="001B0C73" w:rsidP="00362CD9">
      <w:r>
        <w:separator/>
      </w:r>
    </w:p>
  </w:footnote>
  <w:footnote w:type="continuationSeparator" w:id="0">
    <w:p w14:paraId="1176C417" w14:textId="77777777" w:rsidR="001B0C73" w:rsidRDefault="001B0C73"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58241"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9554381"/>
    <w:multiLevelType w:val="hybridMultilevel"/>
    <w:tmpl w:val="FD30B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C3E0687"/>
    <w:multiLevelType w:val="hybridMultilevel"/>
    <w:tmpl w:val="21681F8E"/>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69412F0"/>
    <w:multiLevelType w:val="hybridMultilevel"/>
    <w:tmpl w:val="66A8C420"/>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7"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8"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51642F77"/>
    <w:multiLevelType w:val="hybridMultilevel"/>
    <w:tmpl w:val="2FA6697A"/>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4"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7"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50" w15:restartNumberingAfterBreak="0">
    <w:nsid w:val="769D2D0B"/>
    <w:multiLevelType w:val="hybridMultilevel"/>
    <w:tmpl w:val="81F8B0C2"/>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3136319">
    <w:abstractNumId w:val="7"/>
  </w:num>
  <w:num w:numId="2" w16cid:durableId="1724213348">
    <w:abstractNumId w:val="2"/>
  </w:num>
  <w:num w:numId="3" w16cid:durableId="579294378">
    <w:abstractNumId w:val="19"/>
  </w:num>
  <w:num w:numId="4" w16cid:durableId="772166446">
    <w:abstractNumId w:val="45"/>
  </w:num>
  <w:num w:numId="5" w16cid:durableId="1016469588">
    <w:abstractNumId w:val="34"/>
  </w:num>
  <w:num w:numId="6" w16cid:durableId="2045129801">
    <w:abstractNumId w:val="12"/>
  </w:num>
  <w:num w:numId="7" w16cid:durableId="499538883">
    <w:abstractNumId w:val="48"/>
  </w:num>
  <w:num w:numId="8" w16cid:durableId="1037655079">
    <w:abstractNumId w:val="29"/>
  </w:num>
  <w:num w:numId="9" w16cid:durableId="559285992">
    <w:abstractNumId w:val="21"/>
  </w:num>
  <w:num w:numId="10" w16cid:durableId="921719111">
    <w:abstractNumId w:val="38"/>
  </w:num>
  <w:num w:numId="11" w16cid:durableId="786311585">
    <w:abstractNumId w:val="37"/>
  </w:num>
  <w:num w:numId="12" w16cid:durableId="589506979">
    <w:abstractNumId w:val="33"/>
  </w:num>
  <w:num w:numId="13" w16cid:durableId="1836145497">
    <w:abstractNumId w:val="46"/>
  </w:num>
  <w:num w:numId="14" w16cid:durableId="1756782261">
    <w:abstractNumId w:val="17"/>
  </w:num>
  <w:num w:numId="15" w16cid:durableId="17977545">
    <w:abstractNumId w:val="53"/>
  </w:num>
  <w:num w:numId="16" w16cid:durableId="2094890435">
    <w:abstractNumId w:val="32"/>
  </w:num>
  <w:num w:numId="17" w16cid:durableId="1566060577">
    <w:abstractNumId w:val="18"/>
  </w:num>
  <w:num w:numId="18" w16cid:durableId="844705127">
    <w:abstractNumId w:val="42"/>
  </w:num>
  <w:num w:numId="19" w16cid:durableId="1712800043">
    <w:abstractNumId w:val="32"/>
  </w:num>
  <w:num w:numId="20" w16cid:durableId="1958676482">
    <w:abstractNumId w:val="32"/>
  </w:num>
  <w:num w:numId="21" w16cid:durableId="676808418">
    <w:abstractNumId w:val="32"/>
  </w:num>
  <w:num w:numId="22" w16cid:durableId="900487287">
    <w:abstractNumId w:val="32"/>
  </w:num>
  <w:num w:numId="23" w16cid:durableId="2018264964">
    <w:abstractNumId w:val="43"/>
  </w:num>
  <w:num w:numId="24" w16cid:durableId="10111471">
    <w:abstractNumId w:val="10"/>
  </w:num>
  <w:num w:numId="25" w16cid:durableId="1967150970">
    <w:abstractNumId w:val="10"/>
  </w:num>
  <w:num w:numId="26" w16cid:durableId="1257396113">
    <w:abstractNumId w:val="10"/>
  </w:num>
  <w:num w:numId="27" w16cid:durableId="410467912">
    <w:abstractNumId w:val="23"/>
  </w:num>
  <w:num w:numId="28" w16cid:durableId="237595952">
    <w:abstractNumId w:val="23"/>
  </w:num>
  <w:num w:numId="29" w16cid:durableId="1521311346">
    <w:abstractNumId w:val="23"/>
  </w:num>
  <w:num w:numId="30" w16cid:durableId="1755318220">
    <w:abstractNumId w:val="23"/>
  </w:num>
  <w:num w:numId="31" w16cid:durableId="1025864002">
    <w:abstractNumId w:val="23"/>
  </w:num>
  <w:num w:numId="32" w16cid:durableId="1692147233">
    <w:abstractNumId w:val="23"/>
  </w:num>
  <w:num w:numId="33" w16cid:durableId="367024013">
    <w:abstractNumId w:val="39"/>
  </w:num>
  <w:num w:numId="34" w16cid:durableId="1692879331">
    <w:abstractNumId w:val="39"/>
  </w:num>
  <w:num w:numId="35" w16cid:durableId="1968854937">
    <w:abstractNumId w:val="39"/>
  </w:num>
  <w:num w:numId="36" w16cid:durableId="409084323">
    <w:abstractNumId w:val="30"/>
  </w:num>
  <w:num w:numId="37" w16cid:durableId="481049332">
    <w:abstractNumId w:val="17"/>
  </w:num>
  <w:num w:numId="38" w16cid:durableId="762728720">
    <w:abstractNumId w:val="33"/>
  </w:num>
  <w:num w:numId="39" w16cid:durableId="406733196">
    <w:abstractNumId w:val="32"/>
  </w:num>
  <w:num w:numId="40" w16cid:durableId="339709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2819722">
    <w:abstractNumId w:val="9"/>
  </w:num>
  <w:num w:numId="42" w16cid:durableId="1239486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6078716">
    <w:abstractNumId w:val="9"/>
  </w:num>
  <w:num w:numId="44" w16cid:durableId="128939901">
    <w:abstractNumId w:val="31"/>
  </w:num>
  <w:num w:numId="45" w16cid:durableId="1605648278">
    <w:abstractNumId w:val="35"/>
  </w:num>
  <w:num w:numId="46" w16cid:durableId="496655810">
    <w:abstractNumId w:val="54"/>
  </w:num>
  <w:num w:numId="47" w16cid:durableId="1718967224">
    <w:abstractNumId w:val="14"/>
  </w:num>
  <w:num w:numId="48" w16cid:durableId="1709991696">
    <w:abstractNumId w:val="22"/>
  </w:num>
  <w:num w:numId="49" w16cid:durableId="1044283049">
    <w:abstractNumId w:val="15"/>
  </w:num>
  <w:num w:numId="50" w16cid:durableId="1967082030">
    <w:abstractNumId w:val="13"/>
  </w:num>
  <w:num w:numId="51" w16cid:durableId="2104648613">
    <w:abstractNumId w:val="20"/>
  </w:num>
  <w:num w:numId="52" w16cid:durableId="348339373">
    <w:abstractNumId w:val="47"/>
  </w:num>
  <w:num w:numId="53" w16cid:durableId="1828092372">
    <w:abstractNumId w:val="51"/>
  </w:num>
  <w:num w:numId="54" w16cid:durableId="46882591">
    <w:abstractNumId w:val="16"/>
  </w:num>
  <w:num w:numId="55" w16cid:durableId="2019695801">
    <w:abstractNumId w:val="52"/>
  </w:num>
  <w:num w:numId="56" w16cid:durableId="1019815527">
    <w:abstractNumId w:val="44"/>
  </w:num>
  <w:num w:numId="57" w16cid:durableId="117071472">
    <w:abstractNumId w:val="27"/>
  </w:num>
  <w:num w:numId="58" w16cid:durableId="828516770">
    <w:abstractNumId w:val="8"/>
  </w:num>
  <w:num w:numId="59" w16cid:durableId="230429686">
    <w:abstractNumId w:val="6"/>
  </w:num>
  <w:num w:numId="60" w16cid:durableId="973294380">
    <w:abstractNumId w:val="5"/>
  </w:num>
  <w:num w:numId="61" w16cid:durableId="2014264212">
    <w:abstractNumId w:val="4"/>
  </w:num>
  <w:num w:numId="62" w16cid:durableId="830754055">
    <w:abstractNumId w:val="3"/>
  </w:num>
  <w:num w:numId="63" w16cid:durableId="717315890">
    <w:abstractNumId w:val="1"/>
  </w:num>
  <w:num w:numId="64" w16cid:durableId="150876912">
    <w:abstractNumId w:val="0"/>
  </w:num>
  <w:num w:numId="65" w16cid:durableId="829248940">
    <w:abstractNumId w:val="40"/>
  </w:num>
  <w:num w:numId="66" w16cid:durableId="569999294">
    <w:abstractNumId w:val="49"/>
  </w:num>
  <w:num w:numId="67" w16cid:durableId="1177111293">
    <w:abstractNumId w:val="25"/>
  </w:num>
  <w:num w:numId="68" w16cid:durableId="4479405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35990278">
    <w:abstractNumId w:val="24"/>
  </w:num>
  <w:num w:numId="70" w16cid:durableId="10851118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38646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06608173">
    <w:abstractNumId w:val="36"/>
  </w:num>
  <w:num w:numId="73" w16cid:durableId="14560955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90361164">
    <w:abstractNumId w:val="11"/>
  </w:num>
  <w:num w:numId="75" w16cid:durableId="471363639">
    <w:abstractNumId w:val="26"/>
  </w:num>
  <w:num w:numId="76" w16cid:durableId="856965453">
    <w:abstractNumId w:val="50"/>
  </w:num>
  <w:num w:numId="77" w16cid:durableId="1968317907">
    <w:abstractNumId w:val="28"/>
  </w:num>
  <w:num w:numId="78" w16cid:durableId="1078017490">
    <w:abstractNumId w:val="4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220EF"/>
    <w:rsid w:val="0003615A"/>
    <w:rsid w:val="00036B9E"/>
    <w:rsid w:val="00037DF4"/>
    <w:rsid w:val="000400F8"/>
    <w:rsid w:val="000434AC"/>
    <w:rsid w:val="0004700E"/>
    <w:rsid w:val="00057FCA"/>
    <w:rsid w:val="00070C13"/>
    <w:rsid w:val="000715C9"/>
    <w:rsid w:val="00084F33"/>
    <w:rsid w:val="00086E46"/>
    <w:rsid w:val="00097B81"/>
    <w:rsid w:val="000A77A7"/>
    <w:rsid w:val="000B1707"/>
    <w:rsid w:val="000B40C2"/>
    <w:rsid w:val="000B59D7"/>
    <w:rsid w:val="000B720E"/>
    <w:rsid w:val="000C1B3E"/>
    <w:rsid w:val="000C349E"/>
    <w:rsid w:val="000D0E6B"/>
    <w:rsid w:val="000E0CB2"/>
    <w:rsid w:val="000E2016"/>
    <w:rsid w:val="000E3779"/>
    <w:rsid w:val="000E3CC8"/>
    <w:rsid w:val="00110203"/>
    <w:rsid w:val="00110AE7"/>
    <w:rsid w:val="00112C02"/>
    <w:rsid w:val="00120EF2"/>
    <w:rsid w:val="00122A21"/>
    <w:rsid w:val="001241C8"/>
    <w:rsid w:val="001323E9"/>
    <w:rsid w:val="00161D1E"/>
    <w:rsid w:val="00171685"/>
    <w:rsid w:val="00177F4D"/>
    <w:rsid w:val="00180DDA"/>
    <w:rsid w:val="00182161"/>
    <w:rsid w:val="001A220A"/>
    <w:rsid w:val="001B0C73"/>
    <w:rsid w:val="001B13E4"/>
    <w:rsid w:val="001B2A2D"/>
    <w:rsid w:val="001B737D"/>
    <w:rsid w:val="001C04F9"/>
    <w:rsid w:val="001C44A3"/>
    <w:rsid w:val="001C77BB"/>
    <w:rsid w:val="001E0248"/>
    <w:rsid w:val="001E0E15"/>
    <w:rsid w:val="001E0E1F"/>
    <w:rsid w:val="001F0E91"/>
    <w:rsid w:val="001F528A"/>
    <w:rsid w:val="001F704E"/>
    <w:rsid w:val="00201722"/>
    <w:rsid w:val="00207922"/>
    <w:rsid w:val="002125B0"/>
    <w:rsid w:val="00221E08"/>
    <w:rsid w:val="002306EC"/>
    <w:rsid w:val="0023760E"/>
    <w:rsid w:val="00237D7C"/>
    <w:rsid w:val="00242AC9"/>
    <w:rsid w:val="00243228"/>
    <w:rsid w:val="00247463"/>
    <w:rsid w:val="00251483"/>
    <w:rsid w:val="002551B1"/>
    <w:rsid w:val="00255AAA"/>
    <w:rsid w:val="00255CAA"/>
    <w:rsid w:val="0025741F"/>
    <w:rsid w:val="002578B5"/>
    <w:rsid w:val="002630CA"/>
    <w:rsid w:val="00264305"/>
    <w:rsid w:val="00265AA2"/>
    <w:rsid w:val="002724B3"/>
    <w:rsid w:val="00275EFA"/>
    <w:rsid w:val="00286FEF"/>
    <w:rsid w:val="00291235"/>
    <w:rsid w:val="002A0346"/>
    <w:rsid w:val="002A0929"/>
    <w:rsid w:val="002A4487"/>
    <w:rsid w:val="002A4799"/>
    <w:rsid w:val="002B49E9"/>
    <w:rsid w:val="002C632E"/>
    <w:rsid w:val="002D3E8B"/>
    <w:rsid w:val="002D4575"/>
    <w:rsid w:val="002D50A6"/>
    <w:rsid w:val="002D5C0C"/>
    <w:rsid w:val="002E03D1"/>
    <w:rsid w:val="002E6B74"/>
    <w:rsid w:val="002E6FCA"/>
    <w:rsid w:val="002F2F43"/>
    <w:rsid w:val="00330587"/>
    <w:rsid w:val="00330A0B"/>
    <w:rsid w:val="00332286"/>
    <w:rsid w:val="003351C4"/>
    <w:rsid w:val="0035243F"/>
    <w:rsid w:val="0035683E"/>
    <w:rsid w:val="00356CD0"/>
    <w:rsid w:val="00362CD9"/>
    <w:rsid w:val="0036544C"/>
    <w:rsid w:val="00372CAF"/>
    <w:rsid w:val="003761CA"/>
    <w:rsid w:val="00376854"/>
    <w:rsid w:val="0038049E"/>
    <w:rsid w:val="00380DAF"/>
    <w:rsid w:val="003920F1"/>
    <w:rsid w:val="003972CE"/>
    <w:rsid w:val="003A6DDF"/>
    <w:rsid w:val="003B0692"/>
    <w:rsid w:val="003B2635"/>
    <w:rsid w:val="003B28F5"/>
    <w:rsid w:val="003B7B7D"/>
    <w:rsid w:val="003C54CB"/>
    <w:rsid w:val="003C7A2A"/>
    <w:rsid w:val="003D25A2"/>
    <w:rsid w:val="003D2DC1"/>
    <w:rsid w:val="003D5392"/>
    <w:rsid w:val="003D69D0"/>
    <w:rsid w:val="003F2918"/>
    <w:rsid w:val="003F430E"/>
    <w:rsid w:val="003F59E6"/>
    <w:rsid w:val="003F7F4B"/>
    <w:rsid w:val="00402452"/>
    <w:rsid w:val="004041BC"/>
    <w:rsid w:val="0040593F"/>
    <w:rsid w:val="0041088C"/>
    <w:rsid w:val="0041230E"/>
    <w:rsid w:val="00420A38"/>
    <w:rsid w:val="004267E0"/>
    <w:rsid w:val="00426DB3"/>
    <w:rsid w:val="0042716A"/>
    <w:rsid w:val="00431B19"/>
    <w:rsid w:val="004533B7"/>
    <w:rsid w:val="004661AD"/>
    <w:rsid w:val="0048508E"/>
    <w:rsid w:val="004A3F3F"/>
    <w:rsid w:val="004D1D85"/>
    <w:rsid w:val="004D269D"/>
    <w:rsid w:val="004D3C3A"/>
    <w:rsid w:val="004E1CD1"/>
    <w:rsid w:val="004F3F63"/>
    <w:rsid w:val="004F7616"/>
    <w:rsid w:val="0050690E"/>
    <w:rsid w:val="005107EB"/>
    <w:rsid w:val="00521345"/>
    <w:rsid w:val="00526081"/>
    <w:rsid w:val="00526DF0"/>
    <w:rsid w:val="00545CC4"/>
    <w:rsid w:val="00551FFF"/>
    <w:rsid w:val="005607A2"/>
    <w:rsid w:val="00563332"/>
    <w:rsid w:val="00564338"/>
    <w:rsid w:val="0057198B"/>
    <w:rsid w:val="00573CFE"/>
    <w:rsid w:val="00573FEE"/>
    <w:rsid w:val="00594526"/>
    <w:rsid w:val="005969F2"/>
    <w:rsid w:val="00597FAE"/>
    <w:rsid w:val="005A3CCA"/>
    <w:rsid w:val="005B32A3"/>
    <w:rsid w:val="005B63D1"/>
    <w:rsid w:val="005C0D44"/>
    <w:rsid w:val="005C566C"/>
    <w:rsid w:val="005C7E69"/>
    <w:rsid w:val="005D763D"/>
    <w:rsid w:val="005E262D"/>
    <w:rsid w:val="005F23D3"/>
    <w:rsid w:val="005F7E20"/>
    <w:rsid w:val="00600912"/>
    <w:rsid w:val="00605E43"/>
    <w:rsid w:val="006153BB"/>
    <w:rsid w:val="00620EFB"/>
    <w:rsid w:val="00632397"/>
    <w:rsid w:val="00635ADD"/>
    <w:rsid w:val="00637047"/>
    <w:rsid w:val="00640D0B"/>
    <w:rsid w:val="006652C3"/>
    <w:rsid w:val="00672D0E"/>
    <w:rsid w:val="00682967"/>
    <w:rsid w:val="00691FD0"/>
    <w:rsid w:val="00692148"/>
    <w:rsid w:val="006A1045"/>
    <w:rsid w:val="006A1A1E"/>
    <w:rsid w:val="006A63F0"/>
    <w:rsid w:val="006A6BF8"/>
    <w:rsid w:val="006B18FF"/>
    <w:rsid w:val="006C1E51"/>
    <w:rsid w:val="006C316C"/>
    <w:rsid w:val="006C3FF5"/>
    <w:rsid w:val="006C5948"/>
    <w:rsid w:val="006D3F53"/>
    <w:rsid w:val="006E2121"/>
    <w:rsid w:val="006E7DE2"/>
    <w:rsid w:val="006F2A74"/>
    <w:rsid w:val="006F4142"/>
    <w:rsid w:val="007118F5"/>
    <w:rsid w:val="00712AA4"/>
    <w:rsid w:val="00713B65"/>
    <w:rsid w:val="007146C4"/>
    <w:rsid w:val="00721AA1"/>
    <w:rsid w:val="00723915"/>
    <w:rsid w:val="00724B67"/>
    <w:rsid w:val="00734DF2"/>
    <w:rsid w:val="00744BF6"/>
    <w:rsid w:val="00747B06"/>
    <w:rsid w:val="007547F8"/>
    <w:rsid w:val="00765622"/>
    <w:rsid w:val="00770B6C"/>
    <w:rsid w:val="00774730"/>
    <w:rsid w:val="00776A57"/>
    <w:rsid w:val="00783FEA"/>
    <w:rsid w:val="00791B4E"/>
    <w:rsid w:val="007926DC"/>
    <w:rsid w:val="00794E91"/>
    <w:rsid w:val="007A395D"/>
    <w:rsid w:val="007A3E45"/>
    <w:rsid w:val="007A53A9"/>
    <w:rsid w:val="007C2ED6"/>
    <w:rsid w:val="007C346C"/>
    <w:rsid w:val="007D63E3"/>
    <w:rsid w:val="007E7D53"/>
    <w:rsid w:val="007F0243"/>
    <w:rsid w:val="007F339D"/>
    <w:rsid w:val="007F66B6"/>
    <w:rsid w:val="0080294B"/>
    <w:rsid w:val="0081385D"/>
    <w:rsid w:val="008149AF"/>
    <w:rsid w:val="0082151B"/>
    <w:rsid w:val="0082480E"/>
    <w:rsid w:val="00850293"/>
    <w:rsid w:val="00851373"/>
    <w:rsid w:val="00851BA6"/>
    <w:rsid w:val="0085654D"/>
    <w:rsid w:val="00861160"/>
    <w:rsid w:val="00861801"/>
    <w:rsid w:val="0086654F"/>
    <w:rsid w:val="008702A8"/>
    <w:rsid w:val="008722F3"/>
    <w:rsid w:val="0087239B"/>
    <w:rsid w:val="0088267D"/>
    <w:rsid w:val="00886AF9"/>
    <w:rsid w:val="00892CA4"/>
    <w:rsid w:val="00896459"/>
    <w:rsid w:val="008A356F"/>
    <w:rsid w:val="008A3ECA"/>
    <w:rsid w:val="008A4653"/>
    <w:rsid w:val="008A4717"/>
    <w:rsid w:val="008A50CC"/>
    <w:rsid w:val="008C6AE0"/>
    <w:rsid w:val="008D1694"/>
    <w:rsid w:val="008D79CB"/>
    <w:rsid w:val="008D79F9"/>
    <w:rsid w:val="008E28CC"/>
    <w:rsid w:val="008F07BC"/>
    <w:rsid w:val="008F4419"/>
    <w:rsid w:val="009002E6"/>
    <w:rsid w:val="00904066"/>
    <w:rsid w:val="00910857"/>
    <w:rsid w:val="009136E9"/>
    <w:rsid w:val="009206BC"/>
    <w:rsid w:val="0092692B"/>
    <w:rsid w:val="0094288D"/>
    <w:rsid w:val="00943E9C"/>
    <w:rsid w:val="00953F4D"/>
    <w:rsid w:val="00960BB8"/>
    <w:rsid w:val="00964F5C"/>
    <w:rsid w:val="00973B57"/>
    <w:rsid w:val="00975007"/>
    <w:rsid w:val="009831C0"/>
    <w:rsid w:val="009849FE"/>
    <w:rsid w:val="00987037"/>
    <w:rsid w:val="009874F9"/>
    <w:rsid w:val="0098784C"/>
    <w:rsid w:val="0099161D"/>
    <w:rsid w:val="009A318F"/>
    <w:rsid w:val="009A6E36"/>
    <w:rsid w:val="009B663D"/>
    <w:rsid w:val="009C34A1"/>
    <w:rsid w:val="009C5F41"/>
    <w:rsid w:val="009D55BF"/>
    <w:rsid w:val="009D755D"/>
    <w:rsid w:val="009E1455"/>
    <w:rsid w:val="009E30F8"/>
    <w:rsid w:val="009E685E"/>
    <w:rsid w:val="00A01B17"/>
    <w:rsid w:val="00A0389B"/>
    <w:rsid w:val="00A26017"/>
    <w:rsid w:val="00A30808"/>
    <w:rsid w:val="00A322DF"/>
    <w:rsid w:val="00A33A17"/>
    <w:rsid w:val="00A40A4C"/>
    <w:rsid w:val="00A446C9"/>
    <w:rsid w:val="00A452E9"/>
    <w:rsid w:val="00A515F6"/>
    <w:rsid w:val="00A52FE4"/>
    <w:rsid w:val="00A56C33"/>
    <w:rsid w:val="00A60D9E"/>
    <w:rsid w:val="00A635D6"/>
    <w:rsid w:val="00A65495"/>
    <w:rsid w:val="00A70676"/>
    <w:rsid w:val="00A72757"/>
    <w:rsid w:val="00A800A9"/>
    <w:rsid w:val="00A8297E"/>
    <w:rsid w:val="00A8553A"/>
    <w:rsid w:val="00A93AED"/>
    <w:rsid w:val="00AB524B"/>
    <w:rsid w:val="00AE1319"/>
    <w:rsid w:val="00AE153A"/>
    <w:rsid w:val="00AE34BB"/>
    <w:rsid w:val="00AE3CA6"/>
    <w:rsid w:val="00AE6D93"/>
    <w:rsid w:val="00AF43D8"/>
    <w:rsid w:val="00B0084A"/>
    <w:rsid w:val="00B0520E"/>
    <w:rsid w:val="00B0574E"/>
    <w:rsid w:val="00B075AF"/>
    <w:rsid w:val="00B226F2"/>
    <w:rsid w:val="00B274DF"/>
    <w:rsid w:val="00B351F6"/>
    <w:rsid w:val="00B5518B"/>
    <w:rsid w:val="00B56BDF"/>
    <w:rsid w:val="00B63409"/>
    <w:rsid w:val="00B65812"/>
    <w:rsid w:val="00B661C7"/>
    <w:rsid w:val="00B716AD"/>
    <w:rsid w:val="00B80530"/>
    <w:rsid w:val="00B85CD6"/>
    <w:rsid w:val="00B90A27"/>
    <w:rsid w:val="00B93C77"/>
    <w:rsid w:val="00B9554D"/>
    <w:rsid w:val="00BA4DA9"/>
    <w:rsid w:val="00BB2B9F"/>
    <w:rsid w:val="00BB362A"/>
    <w:rsid w:val="00BB7889"/>
    <w:rsid w:val="00BB7D9E"/>
    <w:rsid w:val="00BC2334"/>
    <w:rsid w:val="00BC30DC"/>
    <w:rsid w:val="00BC62C6"/>
    <w:rsid w:val="00BD3CB8"/>
    <w:rsid w:val="00BD4E6F"/>
    <w:rsid w:val="00BD5BB6"/>
    <w:rsid w:val="00BE118B"/>
    <w:rsid w:val="00BE4121"/>
    <w:rsid w:val="00BE619F"/>
    <w:rsid w:val="00BE700D"/>
    <w:rsid w:val="00BF106A"/>
    <w:rsid w:val="00BF32F0"/>
    <w:rsid w:val="00BF3BCD"/>
    <w:rsid w:val="00BF4DCE"/>
    <w:rsid w:val="00C02DDD"/>
    <w:rsid w:val="00C05CE5"/>
    <w:rsid w:val="00C2560D"/>
    <w:rsid w:val="00C44ABA"/>
    <w:rsid w:val="00C52A4D"/>
    <w:rsid w:val="00C57756"/>
    <w:rsid w:val="00C6171E"/>
    <w:rsid w:val="00C65557"/>
    <w:rsid w:val="00C749AC"/>
    <w:rsid w:val="00C83830"/>
    <w:rsid w:val="00C865DF"/>
    <w:rsid w:val="00CA6F2C"/>
    <w:rsid w:val="00CC1C89"/>
    <w:rsid w:val="00CC79CE"/>
    <w:rsid w:val="00CD5F60"/>
    <w:rsid w:val="00CF1871"/>
    <w:rsid w:val="00CF3193"/>
    <w:rsid w:val="00D019CE"/>
    <w:rsid w:val="00D06C81"/>
    <w:rsid w:val="00D1133E"/>
    <w:rsid w:val="00D159D9"/>
    <w:rsid w:val="00D17A34"/>
    <w:rsid w:val="00D25056"/>
    <w:rsid w:val="00D26628"/>
    <w:rsid w:val="00D332B3"/>
    <w:rsid w:val="00D423E5"/>
    <w:rsid w:val="00D5462D"/>
    <w:rsid w:val="00D55207"/>
    <w:rsid w:val="00D56C43"/>
    <w:rsid w:val="00D60825"/>
    <w:rsid w:val="00D81801"/>
    <w:rsid w:val="00D92B45"/>
    <w:rsid w:val="00D95962"/>
    <w:rsid w:val="00DC389B"/>
    <w:rsid w:val="00DC6AFC"/>
    <w:rsid w:val="00DD78A5"/>
    <w:rsid w:val="00DE0D8B"/>
    <w:rsid w:val="00DE2FEE"/>
    <w:rsid w:val="00E00BE9"/>
    <w:rsid w:val="00E04761"/>
    <w:rsid w:val="00E072EC"/>
    <w:rsid w:val="00E12572"/>
    <w:rsid w:val="00E165C4"/>
    <w:rsid w:val="00E22A11"/>
    <w:rsid w:val="00E22C38"/>
    <w:rsid w:val="00E31E5C"/>
    <w:rsid w:val="00E326CC"/>
    <w:rsid w:val="00E44DD2"/>
    <w:rsid w:val="00E558C3"/>
    <w:rsid w:val="00E55927"/>
    <w:rsid w:val="00E66D36"/>
    <w:rsid w:val="00E73AE0"/>
    <w:rsid w:val="00E846CD"/>
    <w:rsid w:val="00E86C54"/>
    <w:rsid w:val="00E912A6"/>
    <w:rsid w:val="00EA4844"/>
    <w:rsid w:val="00EA4D9C"/>
    <w:rsid w:val="00EA5A97"/>
    <w:rsid w:val="00EA7546"/>
    <w:rsid w:val="00EB2CD8"/>
    <w:rsid w:val="00EB75EE"/>
    <w:rsid w:val="00EE4C1D"/>
    <w:rsid w:val="00EF3685"/>
    <w:rsid w:val="00F04350"/>
    <w:rsid w:val="00F04633"/>
    <w:rsid w:val="00F133DB"/>
    <w:rsid w:val="00F13EF9"/>
    <w:rsid w:val="00F14A92"/>
    <w:rsid w:val="00F159EB"/>
    <w:rsid w:val="00F25BF4"/>
    <w:rsid w:val="00F265CC"/>
    <w:rsid w:val="00F267DB"/>
    <w:rsid w:val="00F357ED"/>
    <w:rsid w:val="00F46F6F"/>
    <w:rsid w:val="00F60608"/>
    <w:rsid w:val="00F611A9"/>
    <w:rsid w:val="00F62217"/>
    <w:rsid w:val="00F648F8"/>
    <w:rsid w:val="00F71ACC"/>
    <w:rsid w:val="00F71F4D"/>
    <w:rsid w:val="00F80BD1"/>
    <w:rsid w:val="00F8383F"/>
    <w:rsid w:val="00FA17C0"/>
    <w:rsid w:val="00FB17A9"/>
    <w:rsid w:val="00FB527C"/>
    <w:rsid w:val="00FB6F75"/>
    <w:rsid w:val="00FC0EB3"/>
    <w:rsid w:val="00FC1641"/>
    <w:rsid w:val="00FC3767"/>
    <w:rsid w:val="00FC7EB2"/>
    <w:rsid w:val="00FD26C2"/>
    <w:rsid w:val="00FD675E"/>
    <w:rsid w:val="00FD6EE7"/>
    <w:rsid w:val="00FE02B5"/>
    <w:rsid w:val="00FE1421"/>
    <w:rsid w:val="00FE3A7D"/>
    <w:rsid w:val="00FE5674"/>
    <w:rsid w:val="00FF2D58"/>
    <w:rsid w:val="00FF54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table" w:customStyle="1" w:styleId="TableGrid2">
    <w:name w:val="Table Grid2"/>
    <w:basedOn w:val="TableNormal"/>
    <w:next w:val="TableGrid"/>
    <w:uiPriority w:val="39"/>
    <w:rsid w:val="00F648F8"/>
    <w:rPr>
      <w:rFonts w:ascii="Aptos" w:eastAsia="DengXian" w:hAnsi="Aptos"/>
      <w:kern w:val="2"/>
      <w:sz w:val="24"/>
      <w:szCs w:val="24"/>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65A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2.xml><?xml version="1.0" encoding="utf-8"?>
<ds:datastoreItem xmlns:ds="http://schemas.openxmlformats.org/officeDocument/2006/customXml" ds:itemID="{7E774C11-D77D-4B31-8DAC-F7869625F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D4D9506A-077E-4413-A6DB-798D7CA808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5</Pages>
  <Words>1960</Words>
  <Characters>10467</Characters>
  <Application>Microsoft Office Word</Application>
  <DocSecurity>0</DocSecurity>
  <Lines>183</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33</cp:revision>
  <dcterms:created xsi:type="dcterms:W3CDTF">2026-01-23T09:08:00Z</dcterms:created>
  <dcterms:modified xsi:type="dcterms:W3CDTF">2026-01-23T12:45:00Z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